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40"/>
        <w:jc w:val="center"/>
      </w:pPr>
      <w:r>
        <w:drawing>
          <wp:inline xmlns:a="http://schemas.openxmlformats.org/drawingml/2006/main" xmlns:pic="http://schemas.openxmlformats.org/drawingml/2006/picture">
            <wp:extent cx="2592000" cy="2592000"/>
            <wp:docPr id="1" name="Picture 1"/>
            <wp:cNvGraphicFramePr>
              <a:graphicFrameLocks noChangeAspect="1"/>
            </wp:cNvGraphicFramePr>
            <a:graphic>
              <a:graphicData uri="http://schemas.openxmlformats.org/drawingml/2006/picture">
                <pic:pic>
                  <pic:nvPicPr>
                    <pic:cNvPr id="0" name="a_clean_vector_style_emblem_logo_on_a_transparent_1.png"/>
                    <pic:cNvPicPr/>
                  </pic:nvPicPr>
                  <pic:blipFill>
                    <a:blip r:embed="rId11"/>
                    <a:stretch>
                      <a:fillRect/>
                    </a:stretch>
                  </pic:blipFill>
                  <pic:spPr>
                    <a:xfrm>
                      <a:off x="0" y="0"/>
                      <a:ext cx="2592000" cy="2592000"/>
                    </a:xfrm>
                    <a:prstGeom prst="rect"/>
                  </pic:spPr>
                </pic:pic>
              </a:graphicData>
            </a:graphic>
          </wp:inline>
        </w:drawing>
      </w:r>
    </w:p>
    <w:p>
      <w:pPr>
        <w:jc w:val="center"/>
      </w:pPr>
      <w:r>
        <w:rPr>
          <w:rFonts w:ascii="Aptos Display" w:hAnsi="Aptos Display"/>
          <w:b/>
          <w:color w:val="0A2B55"/>
          <w:sz w:val="62"/>
        </w:rPr>
        <w:t>VIGSELORDNING</w:t>
      </w:r>
    </w:p>
    <w:p>
      <w:pPr>
        <w:jc w:val="center"/>
      </w:pPr>
      <w:r>
        <w:rPr>
          <w:rFonts w:ascii="Aptos Display" w:hAnsi="Aptos Display"/>
          <w:b/>
          <w:color w:val="183E67"/>
          <w:sz w:val="30"/>
        </w:rPr>
        <w:t>Ceremoni, process och föreskrifter för vigselförrättare</w:t>
      </w:r>
    </w:p>
    <w:p>
      <w:pPr>
        <w:jc w:val="center"/>
      </w:pPr>
      <w:r>
        <w:rPr>
          <w:rFonts w:ascii="Aptos Display" w:hAnsi="Aptos Display"/>
          <w:b/>
          <w:color w:val="C79A34"/>
          <w:sz w:val="34"/>
        </w:rPr>
        <w:t>Universal Life Church Sverige</w:t>
      </w:r>
    </w:p>
    <w:p>
      <w:pPr>
        <w:jc w:val="center"/>
      </w:pPr>
      <w:r>
        <w:rPr>
          <w:rFonts w:ascii="Aptos" w:hAnsi="Aptos"/>
          <w:color w:val="5C6874"/>
          <w:sz w:val="19"/>
        </w:rPr>
        <w:t>Utgåva 1.0  •  Augusti 2026</w:t>
      </w:r>
    </w:p>
    <w:p/>
    <w:tbl>
      <w:tblPr>
        <w:tblW w:type="auto" w:w="0"/>
        <w:jc w:val="center"/>
        <w:tblLook w:firstColumn="1" w:firstRow="1" w:lastColumn="0" w:lastRow="0" w:noHBand="0" w:noVBand="1" w:val="04A0"/>
      </w:tblPr>
      <w:tblGrid>
        <w:gridCol w:w="9972"/>
      </w:tblGrid>
      <w:t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1"/>
              </w:rPr>
              <w:t>Dokumentets ställning</w:t>
            </w:r>
          </w:p>
          <w:p>
            <w:pPr>
              <w:spacing w:after="60"/>
            </w:pPr>
            <w:r>
              <w:rPr>
                <w:rFonts w:ascii="Aptos" w:hAnsi="Aptos"/>
                <w:sz w:val="19"/>
              </w:rPr>
              <w:t>Detta är Universal Life Church Sveriges gällande vigselordning för juridiskt giltiga vigslar i Sverige. Ordningen anger obligatoriska moment, arbetsprocess, ansvar och praktisk vägledning för ULC Sveriges vigselförrättare. Den personliga ceremonin får utformas fritt inom ramen för denna ordning, medan den juridiska kärnan alltid ska genomföras på det sätt som anges här.</w:t>
            </w:r>
          </w:p>
        </w:tc>
      </w:tr>
    </w:tbl>
    <w:p>
      <w:pPr>
        <w:spacing w:after="0"/>
      </w:pPr>
    </w:p>
    <w:p>
      <w:r>
        <w:br w:type="page"/>
      </w:r>
    </w:p>
    <w:p>
      <w:pPr>
        <w:pStyle w:val="Heading1"/>
      </w:pPr>
      <w:r>
        <w:t>Innehåll</w:t>
      </w:r>
    </w:p>
    <w:p>
      <w:pPr>
        <w:pStyle w:val="ListBullet"/>
        <w:spacing w:after="50"/>
      </w:pPr>
      <w:r>
        <w:rPr>
          <w:rFonts w:ascii="Aptos" w:hAnsi="Aptos"/>
          <w:sz w:val="20"/>
        </w:rPr>
        <w:t>1. Syfte och grundsyn</w:t>
      </w:r>
    </w:p>
    <w:p>
      <w:pPr>
        <w:pStyle w:val="ListBullet"/>
        <w:spacing w:after="50"/>
      </w:pPr>
      <w:r>
        <w:rPr>
          <w:rFonts w:ascii="Aptos" w:hAnsi="Aptos"/>
          <w:sz w:val="20"/>
        </w:rPr>
        <w:t>2. Rättslig grund och ULC:s vigselprinciper</w:t>
      </w:r>
    </w:p>
    <w:p>
      <w:pPr>
        <w:pStyle w:val="ListBullet"/>
        <w:spacing w:after="50"/>
      </w:pPr>
      <w:r>
        <w:rPr>
          <w:rFonts w:ascii="Aptos" w:hAnsi="Aptos"/>
          <w:sz w:val="20"/>
        </w:rPr>
        <w:t>3. Vigselförrättare – utbildning, praktik, examinering och förordnande</w:t>
      </w:r>
    </w:p>
    <w:p>
      <w:pPr>
        <w:pStyle w:val="ListBullet"/>
        <w:spacing w:after="50"/>
      </w:pPr>
      <w:r>
        <w:rPr>
          <w:rFonts w:ascii="Aptos" w:hAnsi="Aptos"/>
          <w:sz w:val="20"/>
        </w:rPr>
        <w:t>4. Den juridiska kärnan i en vigsel</w:t>
      </w:r>
    </w:p>
    <w:p>
      <w:pPr>
        <w:pStyle w:val="ListBullet"/>
        <w:spacing w:after="50"/>
      </w:pPr>
      <w:r>
        <w:rPr>
          <w:rFonts w:ascii="Aptos" w:hAnsi="Aptos"/>
          <w:sz w:val="20"/>
        </w:rPr>
        <w:t>5. Roller och ansvar</w:t>
      </w:r>
    </w:p>
    <w:p>
      <w:pPr>
        <w:pStyle w:val="ListBullet"/>
        <w:spacing w:after="50"/>
      </w:pPr>
      <w:r>
        <w:rPr>
          <w:rFonts w:ascii="Aptos" w:hAnsi="Aptos"/>
          <w:sz w:val="20"/>
        </w:rPr>
        <w:t>6. Från första kontakt till vigseldag</w:t>
      </w:r>
    </w:p>
    <w:p>
      <w:pPr>
        <w:pStyle w:val="ListBullet"/>
        <w:spacing w:after="50"/>
      </w:pPr>
      <w:r>
        <w:rPr>
          <w:rFonts w:ascii="Aptos" w:hAnsi="Aptos"/>
          <w:sz w:val="20"/>
        </w:rPr>
        <w:t>7. Hindersprövning och identitetskontroll</w:t>
      </w:r>
    </w:p>
    <w:p>
      <w:pPr>
        <w:pStyle w:val="ListBullet"/>
        <w:spacing w:after="50"/>
      </w:pPr>
      <w:r>
        <w:rPr>
          <w:rFonts w:ascii="Aptos" w:hAnsi="Aptos"/>
          <w:sz w:val="20"/>
        </w:rPr>
        <w:t>8. Frivillighet, samtycke och trygghet</w:t>
      </w:r>
    </w:p>
    <w:p>
      <w:pPr>
        <w:pStyle w:val="ListBullet"/>
        <w:spacing w:after="50"/>
      </w:pPr>
      <w:r>
        <w:rPr>
          <w:rFonts w:ascii="Aptos" w:hAnsi="Aptos"/>
          <w:sz w:val="20"/>
        </w:rPr>
        <w:t>9. Vittnen, språk, tolkning och tillgänglighet</w:t>
      </w:r>
    </w:p>
    <w:p>
      <w:pPr>
        <w:pStyle w:val="ListBullet"/>
        <w:spacing w:after="50"/>
      </w:pPr>
      <w:r>
        <w:rPr>
          <w:rFonts w:ascii="Aptos" w:hAnsi="Aptos"/>
          <w:sz w:val="20"/>
        </w:rPr>
        <w:t>10. Att skapa en personlig ULC-ceremoni</w:t>
      </w:r>
    </w:p>
    <w:p>
      <w:pPr>
        <w:pStyle w:val="ListBullet"/>
        <w:spacing w:after="50"/>
      </w:pPr>
      <w:r>
        <w:rPr>
          <w:rFonts w:ascii="Aptos" w:hAnsi="Aptos"/>
          <w:sz w:val="20"/>
        </w:rPr>
        <w:t>11. ULC Sverige – obligatorisk vigselritual</w:t>
      </w:r>
    </w:p>
    <w:p>
      <w:pPr>
        <w:pStyle w:val="ListBullet"/>
        <w:spacing w:after="50"/>
      </w:pPr>
      <w:r>
        <w:rPr>
          <w:rFonts w:ascii="Aptos" w:hAnsi="Aptos"/>
          <w:sz w:val="20"/>
        </w:rPr>
        <w:t>12. Fullständig standardceremoni</w:t>
      </w:r>
    </w:p>
    <w:p>
      <w:pPr>
        <w:pStyle w:val="ListBullet"/>
        <w:spacing w:after="50"/>
      </w:pPr>
      <w:r>
        <w:rPr>
          <w:rFonts w:ascii="Aptos" w:hAnsi="Aptos"/>
          <w:sz w:val="20"/>
        </w:rPr>
        <w:t>13. Valfria ceremonimoduler</w:t>
      </w:r>
    </w:p>
    <w:p>
      <w:pPr>
        <w:pStyle w:val="ListBullet"/>
        <w:spacing w:after="50"/>
      </w:pPr>
      <w:r>
        <w:rPr>
          <w:rFonts w:ascii="Aptos" w:hAnsi="Aptos"/>
          <w:sz w:val="20"/>
        </w:rPr>
        <w:t>14. Praktiskt genomförande på vigselplatsen</w:t>
      </w:r>
    </w:p>
    <w:p>
      <w:pPr>
        <w:pStyle w:val="ListBullet"/>
        <w:spacing w:after="50"/>
      </w:pPr>
      <w:r>
        <w:rPr>
          <w:rFonts w:ascii="Aptos" w:hAnsi="Aptos"/>
          <w:sz w:val="20"/>
        </w:rPr>
        <w:t>15. Efter vigseln – vigselbevis, registrering och Skatteverket</w:t>
      </w:r>
    </w:p>
    <w:p>
      <w:pPr>
        <w:pStyle w:val="ListBullet"/>
        <w:spacing w:after="50"/>
      </w:pPr>
      <w:r>
        <w:rPr>
          <w:rFonts w:ascii="Aptos" w:hAnsi="Aptos"/>
          <w:sz w:val="20"/>
        </w:rPr>
        <w:t>16. Dokumentation och dataskydd</w:t>
      </w:r>
    </w:p>
    <w:p>
      <w:pPr>
        <w:pStyle w:val="ListBullet"/>
        <w:spacing w:after="50"/>
      </w:pPr>
      <w:r>
        <w:rPr>
          <w:rFonts w:ascii="Aptos" w:hAnsi="Aptos"/>
          <w:sz w:val="20"/>
        </w:rPr>
        <w:t>17. Avvikelser och särskilda situationer</w:t>
      </w:r>
    </w:p>
    <w:p>
      <w:pPr>
        <w:pStyle w:val="ListBullet"/>
        <w:spacing w:after="50"/>
      </w:pPr>
      <w:r>
        <w:rPr>
          <w:rFonts w:ascii="Aptos" w:hAnsi="Aptos"/>
          <w:sz w:val="20"/>
        </w:rPr>
        <w:t>18. Vigsel i annan jurisdiktion</w:t>
      </w:r>
    </w:p>
    <w:p>
      <w:pPr>
        <w:pStyle w:val="ListBullet"/>
        <w:spacing w:after="50"/>
      </w:pPr>
      <w:r>
        <w:rPr>
          <w:rFonts w:ascii="Aptos" w:hAnsi="Aptos"/>
          <w:sz w:val="20"/>
        </w:rPr>
        <w:t>19. Fortbildning och kvalitet</w:t>
      </w:r>
    </w:p>
    <w:p>
      <w:pPr>
        <w:pStyle w:val="ListBullet"/>
        <w:spacing w:after="50"/>
      </w:pPr>
      <w:r>
        <w:rPr>
          <w:rFonts w:ascii="Aptos" w:hAnsi="Aptos"/>
          <w:sz w:val="20"/>
        </w:rPr>
        <w:t>Bilaga A. Snabbchecklista</w:t>
      </w:r>
    </w:p>
    <w:p>
      <w:pPr>
        <w:pStyle w:val="ListBullet"/>
        <w:spacing w:after="50"/>
      </w:pPr>
      <w:r>
        <w:rPr>
          <w:rFonts w:ascii="Aptos" w:hAnsi="Aptos"/>
          <w:sz w:val="20"/>
        </w:rPr>
        <w:t>Bilaga B. Kort juridiskt reservmanus</w:t>
      </w:r>
    </w:p>
    <w:p>
      <w:pPr>
        <w:pStyle w:val="ListBullet"/>
        <w:spacing w:after="50"/>
      </w:pPr>
      <w:r>
        <w:rPr>
          <w:rFonts w:ascii="Aptos" w:hAnsi="Aptos"/>
          <w:sz w:val="20"/>
        </w:rPr>
        <w:t>Bilaga C. Förslag till vigselbevis</w:t>
      </w:r>
    </w:p>
    <w:p>
      <w:pPr>
        <w:pStyle w:val="ListBullet"/>
        <w:spacing w:after="50"/>
      </w:pPr>
      <w:r>
        <w:rPr>
          <w:rFonts w:ascii="Aptos" w:hAnsi="Aptos"/>
          <w:sz w:val="20"/>
        </w:rPr>
        <w:t>Bilaga D. Kunskaps- och reflektionsfrågor</w:t>
      </w:r>
    </w:p>
    <w:p>
      <w:pPr>
        <w:pStyle w:val="ListBullet"/>
        <w:spacing w:after="50"/>
      </w:pPr>
      <w:r>
        <w:rPr>
          <w:rFonts w:ascii="Aptos" w:hAnsi="Aptos"/>
          <w:sz w:val="20"/>
        </w:rPr>
        <w:t>Bilaga E. Rättskällor och referenser</w:t>
      </w:r>
    </w:p>
    <w:p>
      <w:pPr>
        <w:pStyle w:val="Heading1"/>
      </w:pPr>
      <w:r>
        <w:t>1. Syfte och grundsyn</w:t>
      </w:r>
    </w:p>
    <w:p>
      <w:r>
        <w:rPr>
          <w:rFonts w:ascii="Aptos" w:hAnsi="Aptos"/>
          <w:b w:val="0"/>
          <w:i w:val="0"/>
          <w:sz w:val="20"/>
        </w:rPr>
        <w:t>ULC Sveriges vigselordning ska göra det möjligt att förena två saker som båda är centrala för kyrkan: stor frihet i den personliga ceremonin och full precision i den juridiska processen.</w:t>
      </w:r>
    </w:p>
    <w:p>
      <w:r>
        <w:rPr>
          <w:rFonts w:ascii="Aptos" w:hAnsi="Aptos"/>
          <w:b w:val="0"/>
          <w:i w:val="0"/>
          <w:sz w:val="20"/>
        </w:rPr>
        <w:t>En vigsel inom ULC Sverige kan vara traditionellt religiös, interfaith, naturandlig, humanistisk, sekulär eller personligt sammansatt. Paret ska kunna känna igen sig själva i ord, musik, symboler och löften. Vigselförrättarens uppgift är inte att pressa in paret i en färdig mall utan att hjälpa dem skapa en värdig ceremoni som uttrycker deras eget val.</w:t>
      </w:r>
    </w:p>
    <w:p>
      <w:r>
        <w:rPr>
          <w:rFonts w:ascii="Aptos" w:hAnsi="Aptos"/>
          <w:b w:val="0"/>
          <w:i w:val="0"/>
          <w:sz w:val="20"/>
        </w:rPr>
        <w:t>Samtidigt finns ett litet antal moment som inte är fria att ändra. Svensk lag kräver bland annat samtidiga parter, individuellt samtycke och en uttrycklig makaförklaring. ULC:s internationella vigseltradition bygger på samma kärna genom Declaration of Intent och Pronouncement. Dessa moment hålls därför tydliga och standardiserade.</w:t>
      </w:r>
    </w:p>
    <w:tbl>
      <w:tblPr>
        <w:tblW w:type="auto" w:w="0"/>
        <w:jc w:val="center"/>
        <w:tblLook w:firstColumn="1" w:firstRow="1" w:lastColumn="0" w:lastRow="0" w:noHBand="0" w:noVBand="1" w:val="04A0"/>
      </w:tblPr>
      <w:tblGrid>
        <w:gridCol w:w="9972"/>
      </w:tblGrid>
      <w:tr>
        <w:tc>
          <w:tcPr>
            <w:tcW w:type="dxa" w:w="9972"/>
            <w:shd w:fill="EAF1F8"/>
            <w:tcBorders>
              <w:top w:val="single" w:sz="5" w:color="0A2B55"/>
              <w:bottom w:val="single" w:sz="5" w:color="0A2B55"/>
              <w:left w:val="single" w:sz="12" w:color="0A2B55"/>
              <w:right w:val="single" w:sz="5" w:color="0A2B55"/>
            </w:tcBorders>
          </w:tcPr>
          <w:p>
            <w:r>
              <w:rPr>
                <w:rFonts w:ascii="Aptos" w:hAnsi="Aptos"/>
                <w:b/>
                <w:color w:val="0A2B55"/>
                <w:sz w:val="21"/>
              </w:rPr>
              <w:t>Grundprincip</w:t>
            </w:r>
          </w:p>
          <w:p>
            <w:pPr>
              <w:spacing w:after="60"/>
            </w:pPr>
            <w:r>
              <w:rPr>
                <w:rFonts w:ascii="Aptos" w:hAnsi="Aptos"/>
                <w:sz w:val="19"/>
              </w:rPr>
              <w:t>Frihet i ceremonin. Precision i juridiken. Respekt för varje människas självbestämmande.</w:t>
            </w:r>
          </w:p>
        </w:tc>
      </w:tr>
    </w:tbl>
    <w:p>
      <w:pPr>
        <w:spacing w:after="0"/>
      </w:pPr>
    </w:p>
    <w:p>
      <w:pPr>
        <w:pStyle w:val="Heading2"/>
      </w:pPr>
      <w:r>
        <w:t>1.1 ULC:s värdegrund i vigselarbetet</w:t>
      </w:r>
    </w:p>
    <w:p>
      <w:r>
        <w:rPr>
          <w:rFonts w:ascii="Aptos" w:hAnsi="Aptos"/>
          <w:b w:val="0"/>
          <w:i w:val="0"/>
          <w:sz w:val="20"/>
        </w:rPr>
        <w:t>Universal Life Church utgår från principen att göra det som är rätt och från respekt för varje människas frihet att leva och utöva sin tro eller livsåskådning så länge andra människors rättigheter och friheter respekteras och lagen följs.</w:t>
      </w:r>
    </w:p>
    <w:p>
      <w:r>
        <w:rPr>
          <w:rFonts w:ascii="Aptos" w:hAnsi="Aptos"/>
          <w:b w:val="0"/>
          <w:i w:val="0"/>
          <w:sz w:val="20"/>
        </w:rPr>
        <w:t>I vigselarbetet innebär detta att parets olikheter och egna övertygelser ska kunna rymmas, att inga religiösa uttryck ska påtvingas någon och att ett äktenskap alltid ska bygga på ett fritt, informerat och personligt samtycke.</w:t>
      </w:r>
    </w:p>
    <w:p>
      <w:pPr>
        <w:pStyle w:val="Heading1"/>
      </w:pPr>
      <w:r>
        <w:t>2. Rättslig grund och ULC:s vigselprinciper</w:t>
      </w:r>
    </w:p>
    <w:p>
      <w:r>
        <w:rPr>
          <w:rFonts w:ascii="Aptos" w:hAnsi="Aptos"/>
          <w:b w:val="0"/>
          <w:i w:val="0"/>
          <w:sz w:val="20"/>
        </w:rPr>
        <w:t>Äktenskapsbalken reglerar hur äktenskap ingås i Sverige. För en vigsel inom ett trossamfund gäller dessutom den ordning som gäller inom samfundet. ULC Sveriges vigselordning är därför både en ceremoniell ordning och ett praktiskt regelverk för hur vigselförrättaren fullgör sitt uppdrag.</w:t>
      </w:r>
    </w:p>
    <w:p>
      <w:pPr>
        <w:pStyle w:val="Heading2"/>
      </w:pPr>
      <w:r>
        <w:t>2.1 De svenska grundkraven</w:t>
      </w:r>
    </w:p>
    <w:p>
      <w:pPr>
        <w:pStyle w:val="Checklist"/>
      </w:pPr>
      <w:r>
        <w:rPr>
          <w:rFonts w:ascii="Aptos" w:hAnsi="Aptos"/>
          <w:b/>
          <w:color w:val="0A2B55"/>
        </w:rPr>
        <w:t xml:space="preserve">☐ </w:t>
      </w:r>
      <w:r>
        <w:rPr>
          <w:rFonts w:ascii="Aptos" w:hAnsi="Aptos"/>
          <w:sz w:val="20"/>
        </w:rPr>
        <w:t>Äktenskap ingås genom vigsel i närvaro av släktingar eller andra vittnen.</w:t>
      </w:r>
    </w:p>
    <w:p>
      <w:pPr>
        <w:pStyle w:val="Checklist"/>
      </w:pPr>
      <w:r>
        <w:rPr>
          <w:rFonts w:ascii="Aptos" w:hAnsi="Aptos"/>
          <w:b/>
          <w:color w:val="0A2B55"/>
        </w:rPr>
        <w:t xml:space="preserve">☐ </w:t>
      </w:r>
      <w:r>
        <w:rPr>
          <w:rFonts w:ascii="Aptos" w:hAnsi="Aptos"/>
          <w:sz w:val="20"/>
        </w:rPr>
        <w:t>De två som ingår äktenskap ska vara närvarande samtidigt.</w:t>
      </w:r>
    </w:p>
    <w:p>
      <w:pPr>
        <w:pStyle w:val="Checklist"/>
      </w:pPr>
      <w:r>
        <w:rPr>
          <w:rFonts w:ascii="Aptos" w:hAnsi="Aptos"/>
          <w:b/>
          <w:color w:val="0A2B55"/>
        </w:rPr>
        <w:t xml:space="preserve">☐ </w:t>
      </w:r>
      <w:r>
        <w:rPr>
          <w:rFonts w:ascii="Aptos" w:hAnsi="Aptos"/>
          <w:sz w:val="20"/>
        </w:rPr>
        <w:t>Var och en ska på fråga av vigselförrättaren ge till känna att personen samtycker till äktenskapet.</w:t>
      </w:r>
    </w:p>
    <w:p>
      <w:pPr>
        <w:pStyle w:val="Checklist"/>
      </w:pPr>
      <w:r>
        <w:rPr>
          <w:rFonts w:ascii="Aptos" w:hAnsi="Aptos"/>
          <w:b/>
          <w:color w:val="0A2B55"/>
        </w:rPr>
        <w:t xml:space="preserve">☐ </w:t>
      </w:r>
      <w:r>
        <w:rPr>
          <w:rFonts w:ascii="Aptos" w:hAnsi="Aptos"/>
          <w:sz w:val="20"/>
        </w:rPr>
        <w:t>Vigselförrättaren ska därefter förklara att de är makar.</w:t>
      </w:r>
    </w:p>
    <w:p>
      <w:pPr>
        <w:pStyle w:val="Checklist"/>
      </w:pPr>
      <w:r>
        <w:rPr>
          <w:rFonts w:ascii="Aptos" w:hAnsi="Aptos"/>
          <w:b/>
          <w:color w:val="0A2B55"/>
        </w:rPr>
        <w:t xml:space="preserve">☐ </w:t>
      </w:r>
      <w:r>
        <w:rPr>
          <w:rFonts w:ascii="Aptos" w:hAnsi="Aptos"/>
          <w:sz w:val="20"/>
        </w:rPr>
        <w:t>Före vigseln ska vigselförrättaren förvissa sig om att hindersprövning har skett inom fyra månader före den planerade vigseln och att inget hinder har framkommit.</w:t>
      </w:r>
    </w:p>
    <w:p>
      <w:pPr>
        <w:pStyle w:val="Checklist"/>
      </w:pPr>
      <w:r>
        <w:rPr>
          <w:rFonts w:ascii="Aptos" w:hAnsi="Aptos"/>
          <w:b/>
          <w:color w:val="0A2B55"/>
        </w:rPr>
        <w:t xml:space="preserve">☐ </w:t>
      </w:r>
      <w:r>
        <w:rPr>
          <w:rFonts w:ascii="Aptos" w:hAnsi="Aptos"/>
          <w:sz w:val="20"/>
        </w:rPr>
        <w:t>Vigselförrättaren ska genast lämna makarna ett bevis om vigseln.</w:t>
      </w:r>
    </w:p>
    <w:p>
      <w:pPr>
        <w:pStyle w:val="Checklist"/>
      </w:pPr>
      <w:r>
        <w:rPr>
          <w:rFonts w:ascii="Aptos" w:hAnsi="Aptos"/>
          <w:b/>
          <w:color w:val="0A2B55"/>
        </w:rPr>
        <w:t xml:space="preserve">☐ </w:t>
      </w:r>
      <w:r>
        <w:rPr>
          <w:rFonts w:ascii="Aptos" w:hAnsi="Aptos"/>
          <w:sz w:val="20"/>
        </w:rPr>
        <w:t>Vigselförrättaren ska genast sända underrättelse om vigseln till Skatteverket.</w:t>
      </w:r>
    </w:p>
    <w:p>
      <w:r>
        <w:rPr>
          <w:rFonts w:ascii="Aptos" w:hAnsi="Aptos"/>
          <w:b w:val="0"/>
          <w:i w:val="0"/>
          <w:sz w:val="20"/>
        </w:rPr>
        <w:t>Dessa regler följer av 4 kap. äktenskapsbalken. Om kraven på samtidig närvaro, individuellt samtycke, makaförklaring eller behörig vigselförrättare inte är uppfyllda är förrättningen inte giltig som vigsel.</w:t>
      </w:r>
    </w:p>
    <w:p>
      <w:pPr>
        <w:pStyle w:val="Heading2"/>
      </w:pPr>
      <w:r>
        <w:t>2.2 ULC:s två ceremoniella kärnmoment</w:t>
      </w:r>
    </w:p>
    <w:p>
      <w:r>
        <w:rPr>
          <w:rFonts w:ascii="Aptos" w:hAnsi="Aptos"/>
          <w:b w:val="0"/>
          <w:i w:val="0"/>
          <w:sz w:val="20"/>
        </w:rPr>
        <w:t>ULC:s internationella vägledning anger två moment som centrala för en juridiskt bindande vigselceremoni: Declaration of Intent och Pronouncement.</w:t>
      </w:r>
    </w:p>
    <w:tbl>
      <w:tblPr>
        <w:tblStyle w:val="TableGrid"/>
        <w:tblW w:type="auto" w:w="0"/>
        <w:jc w:val="center"/>
        <w:tblLook w:firstColumn="1" w:firstRow="1" w:lastColumn="0" w:lastRow="0" w:noHBand="0" w:noVBand="1" w:val="04A0"/>
      </w:tblPr>
      <w:tblGrid>
        <w:gridCol w:w="3324"/>
        <w:gridCol w:w="3324"/>
        <w:gridCol w:w="3324"/>
      </w:tblGrid>
      <w:tr>
        <w:trPr>
          <w:tblHeader w:val="true"/>
        </w:trPr>
        <w:tc>
          <w:tcPr>
            <w:tcW w:type="dxa" w:w="2268"/>
            <w:shd w:fill="0A2B55"/>
            <w:vAlign w:val="center"/>
          </w:tcPr>
          <w:p>
            <w:r>
              <w:rPr>
                <w:rFonts w:ascii="Aptos" w:hAnsi="Aptos"/>
                <w:b/>
                <w:color w:val="FFFFFF"/>
                <w:sz w:val="16"/>
              </w:rPr>
              <w:t>ULC-begrepp</w:t>
            </w:r>
          </w:p>
        </w:tc>
        <w:tc>
          <w:tcPr>
            <w:tcW w:type="dxa" w:w="3515"/>
            <w:shd w:fill="0A2B55"/>
            <w:vAlign w:val="center"/>
          </w:tcPr>
          <w:p>
            <w:r>
              <w:rPr>
                <w:rFonts w:ascii="Aptos" w:hAnsi="Aptos"/>
                <w:b/>
                <w:color w:val="FFFFFF"/>
                <w:sz w:val="16"/>
              </w:rPr>
              <w:t>ULC Sverige</w:t>
            </w:r>
          </w:p>
        </w:tc>
        <w:tc>
          <w:tcPr>
            <w:tcW w:type="dxa" w:w="3572"/>
            <w:shd w:fill="0A2B55"/>
            <w:vAlign w:val="center"/>
          </w:tcPr>
          <w:p>
            <w:r>
              <w:rPr>
                <w:rFonts w:ascii="Aptos" w:hAnsi="Aptos"/>
                <w:b/>
                <w:color w:val="FFFFFF"/>
                <w:sz w:val="16"/>
              </w:rPr>
              <w:t>Svensk rättslig funktion</w:t>
            </w:r>
          </w:p>
        </w:tc>
      </w:tr>
      <w:tr>
        <w:tc>
          <w:tcPr>
            <w:tcW w:type="dxa" w:w="2268"/>
            <w:vAlign w:val="top"/>
          </w:tcPr>
          <w:p>
            <w:r>
              <w:rPr>
                <w:rFonts w:ascii="Aptos" w:hAnsi="Aptos"/>
                <w:sz w:val="16"/>
              </w:rPr>
              <w:t>Declaration of Intent</w:t>
            </w:r>
          </w:p>
        </w:tc>
        <w:tc>
          <w:tcPr>
            <w:tcW w:type="dxa" w:w="3515"/>
            <w:vAlign w:val="top"/>
          </w:tcPr>
          <w:p>
            <w:r>
              <w:rPr>
                <w:rFonts w:ascii="Aptos" w:hAnsi="Aptos"/>
                <w:sz w:val="16"/>
              </w:rPr>
              <w:t>Var och en svarar på vigselförrättarens individuella fråga om att ingå äktenskap.</w:t>
            </w:r>
          </w:p>
        </w:tc>
        <w:tc>
          <w:tcPr>
            <w:tcW w:type="dxa" w:w="3572"/>
            <w:vAlign w:val="top"/>
          </w:tcPr>
          <w:p>
            <w:r>
              <w:rPr>
                <w:rFonts w:ascii="Aptos" w:hAnsi="Aptos"/>
                <w:sz w:val="16"/>
              </w:rPr>
              <w:t>Ger till känna samtycke till äktenskapet.</w:t>
            </w:r>
          </w:p>
        </w:tc>
      </w:tr>
      <w:tr>
        <w:tc>
          <w:tcPr>
            <w:tcW w:type="dxa" w:w="2268"/>
            <w:vAlign w:val="top"/>
          </w:tcPr>
          <w:p>
            <w:r>
              <w:rPr>
                <w:rFonts w:ascii="Aptos" w:hAnsi="Aptos"/>
                <w:sz w:val="16"/>
              </w:rPr>
              <w:t>Pronouncement</w:t>
            </w:r>
          </w:p>
        </w:tc>
        <w:tc>
          <w:tcPr>
            <w:tcW w:type="dxa" w:w="3515"/>
            <w:vAlign w:val="top"/>
          </w:tcPr>
          <w:p>
            <w:r>
              <w:rPr>
                <w:rFonts w:ascii="Aptos" w:hAnsi="Aptos"/>
                <w:sz w:val="16"/>
              </w:rPr>
              <w:t>Vigselförrättaren förklarar paret vara makar.</w:t>
            </w:r>
          </w:p>
        </w:tc>
        <w:tc>
          <w:tcPr>
            <w:tcW w:type="dxa" w:w="3572"/>
            <w:vAlign w:val="top"/>
          </w:tcPr>
          <w:p>
            <w:r>
              <w:rPr>
                <w:rFonts w:ascii="Aptos" w:hAnsi="Aptos"/>
                <w:sz w:val="16"/>
              </w:rPr>
              <w:t>Den uttryckliga makaförklaringen efter samtyckena.</w:t>
            </w:r>
          </w:p>
        </w:tc>
      </w:tr>
    </w:tbl>
    <w:p>
      <w:pPr>
        <w:spacing w:after="0"/>
      </w:pPr>
    </w:p>
    <w:p>
      <w:pPr>
        <w:pStyle w:val="Heading1"/>
      </w:pPr>
      <w:r>
        <w:t>3. Vigselförrättare – utbildning, praktik, examinering och förordnande</w:t>
      </w:r>
    </w:p>
    <w:p>
      <w:r>
        <w:rPr>
          <w:rFonts w:ascii="Aptos" w:hAnsi="Aptos"/>
          <w:b w:val="0"/>
          <w:i w:val="0"/>
          <w:sz w:val="20"/>
        </w:rPr>
        <w:t>ULC Sverige utser inte vigselförrättare enbart på grund av ordination eller titel. Den som ska föreslås som vigselförrättare genomgår en sammanhållen intern process som säkerställer juridisk kunskap, praktisk förmåga, omdöme och förståelse för ULC:s vigselordning.</w:t>
      </w:r>
    </w:p>
    <w:p>
      <w:pPr>
        <w:pStyle w:val="Heading2"/>
      </w:pPr>
      <w:r>
        <w:t>3.1 Vägen till vigselförrättare</w:t>
      </w:r>
    </w:p>
    <w:tbl>
      <w:tblPr>
        <w:tblStyle w:val="TableGrid"/>
        <w:tblW w:type="auto" w:w="0"/>
        <w:jc w:val="center"/>
        <w:tblLook w:firstColumn="1" w:firstRow="1" w:lastColumn="0" w:lastRow="0" w:noHBand="0" w:noVBand="1" w:val="04A0"/>
      </w:tblPr>
      <w:tblGrid>
        <w:gridCol w:w="4986"/>
        <w:gridCol w:w="4986"/>
      </w:tblGrid>
      <w:tr>
        <w:trPr>
          <w:tblHeader w:val="true"/>
        </w:trPr>
        <w:tc>
          <w:tcPr>
            <w:tcW w:type="dxa" w:w="2154"/>
            <w:shd w:fill="0A2B55"/>
            <w:vAlign w:val="center"/>
          </w:tcPr>
          <w:p>
            <w:r>
              <w:rPr>
                <w:rFonts w:ascii="Aptos" w:hAnsi="Aptos"/>
                <w:b/>
                <w:color w:val="FFFFFF"/>
                <w:sz w:val="16"/>
              </w:rPr>
              <w:t>Steg</w:t>
            </w:r>
          </w:p>
        </w:tc>
        <w:tc>
          <w:tcPr>
            <w:tcW w:type="dxa" w:w="7200"/>
            <w:shd w:fill="0A2B55"/>
            <w:vAlign w:val="center"/>
          </w:tcPr>
          <w:p>
            <w:r>
              <w:rPr>
                <w:rFonts w:ascii="Aptos" w:hAnsi="Aptos"/>
                <w:b/>
                <w:color w:val="FFFFFF"/>
                <w:sz w:val="16"/>
              </w:rPr>
              <w:t>Innehåll</w:t>
            </w:r>
          </w:p>
        </w:tc>
      </w:tr>
      <w:tr>
        <w:tc>
          <w:tcPr>
            <w:tcW w:type="dxa" w:w="2154"/>
            <w:vAlign w:val="top"/>
          </w:tcPr>
          <w:p>
            <w:r>
              <w:rPr>
                <w:rFonts w:ascii="Aptos" w:hAnsi="Aptos"/>
                <w:sz w:val="16"/>
              </w:rPr>
              <w:t>1. Lämplighetsbedömning</w:t>
            </w:r>
          </w:p>
        </w:tc>
        <w:tc>
          <w:tcPr>
            <w:tcW w:type="dxa" w:w="7200"/>
            <w:vAlign w:val="top"/>
          </w:tcPr>
          <w:p>
            <w:r>
              <w:rPr>
                <w:rFonts w:ascii="Aptos" w:hAnsi="Aptos"/>
                <w:sz w:val="16"/>
              </w:rPr>
              <w:t>Kandidaten ska ha en erkänd funktion inom ULC Sverige och bedömas ha omdöme, integritet, språklig förmåga och förmåga att möta människor i högtidliga och ibland svåra situationer.</w:t>
            </w:r>
          </w:p>
        </w:tc>
      </w:tr>
      <w:tr>
        <w:tc>
          <w:tcPr>
            <w:tcW w:type="dxa" w:w="2154"/>
            <w:vAlign w:val="top"/>
          </w:tcPr>
          <w:p>
            <w:r>
              <w:rPr>
                <w:rFonts w:ascii="Aptos" w:hAnsi="Aptos"/>
                <w:sz w:val="16"/>
              </w:rPr>
              <w:t>2. Utbildning</w:t>
            </w:r>
          </w:p>
        </w:tc>
        <w:tc>
          <w:tcPr>
            <w:tcW w:type="dxa" w:w="7200"/>
            <w:vAlign w:val="top"/>
          </w:tcPr>
          <w:p>
            <w:r>
              <w:rPr>
                <w:rFonts w:ascii="Aptos" w:hAnsi="Aptos"/>
                <w:sz w:val="16"/>
              </w:rPr>
              <w:t>Kandidaten utbildas i svensk vigselrätt, hindersprövning, ULC Sveriges vigselordning, samtycke och tvång, dokumenthantering, myndighetskontakt, dataskydd och ceremoniellt hantverk.</w:t>
            </w:r>
          </w:p>
        </w:tc>
      </w:tr>
      <w:tr>
        <w:tc>
          <w:tcPr>
            <w:tcW w:type="dxa" w:w="2154"/>
            <w:vAlign w:val="top"/>
          </w:tcPr>
          <w:p>
            <w:r>
              <w:rPr>
                <w:rFonts w:ascii="Aptos" w:hAnsi="Aptos"/>
                <w:sz w:val="16"/>
              </w:rPr>
              <w:t>3. Praktik</w:t>
            </w:r>
          </w:p>
        </w:tc>
        <w:tc>
          <w:tcPr>
            <w:tcW w:type="dxa" w:w="7200"/>
            <w:vAlign w:val="top"/>
          </w:tcPr>
          <w:p>
            <w:r>
              <w:rPr>
                <w:rFonts w:ascii="Aptos" w:hAnsi="Aptos"/>
                <w:sz w:val="16"/>
              </w:rPr>
              <w:t>Kandidaten genomför handledd praktik, följer erfarna vigselförrättare och tränar på dokumentkontroll, manus, samtyckesmoment, avvikelser och praktiskt genomförande.</w:t>
            </w:r>
          </w:p>
        </w:tc>
      </w:tr>
      <w:tr>
        <w:tc>
          <w:tcPr>
            <w:tcW w:type="dxa" w:w="2154"/>
            <w:vAlign w:val="top"/>
          </w:tcPr>
          <w:p>
            <w:r>
              <w:rPr>
                <w:rFonts w:ascii="Aptos" w:hAnsi="Aptos"/>
                <w:sz w:val="16"/>
              </w:rPr>
              <w:t>4. Examinering</w:t>
            </w:r>
          </w:p>
        </w:tc>
        <w:tc>
          <w:tcPr>
            <w:tcW w:type="dxa" w:w="7200"/>
            <w:vAlign w:val="top"/>
          </w:tcPr>
          <w:p>
            <w:r>
              <w:rPr>
                <w:rFonts w:ascii="Aptos" w:hAnsi="Aptos"/>
                <w:sz w:val="16"/>
              </w:rPr>
              <w:t>Kandidaten genomgår teoretisk och praktisk examinering enligt ULC Sveriges fastställda bedömningsmodell.</w:t>
            </w:r>
          </w:p>
        </w:tc>
      </w:tr>
      <w:tr>
        <w:tc>
          <w:tcPr>
            <w:tcW w:type="dxa" w:w="2154"/>
            <w:vAlign w:val="top"/>
          </w:tcPr>
          <w:p>
            <w:r>
              <w:rPr>
                <w:rFonts w:ascii="Aptos" w:hAnsi="Aptos"/>
                <w:sz w:val="16"/>
              </w:rPr>
              <w:t>5. Internt godkännande</w:t>
            </w:r>
          </w:p>
        </w:tc>
        <w:tc>
          <w:tcPr>
            <w:tcW w:type="dxa" w:w="7200"/>
            <w:vAlign w:val="top"/>
          </w:tcPr>
          <w:p>
            <w:r>
              <w:rPr>
                <w:rFonts w:ascii="Aptos" w:hAnsi="Aptos"/>
                <w:sz w:val="16"/>
              </w:rPr>
              <w:t>Efter godkänd utbildning, praktik och examinering fattar ULC Sverige beslut om att kandidaten är lämplig att föreslås som vigselförrättare.</w:t>
            </w:r>
          </w:p>
        </w:tc>
      </w:tr>
      <w:tr>
        <w:tc>
          <w:tcPr>
            <w:tcW w:type="dxa" w:w="2154"/>
            <w:vAlign w:val="top"/>
          </w:tcPr>
          <w:p>
            <w:r>
              <w:rPr>
                <w:rFonts w:ascii="Aptos" w:hAnsi="Aptos"/>
                <w:sz w:val="16"/>
              </w:rPr>
              <w:t>6. Ansökan</w:t>
            </w:r>
          </w:p>
        </w:tc>
        <w:tc>
          <w:tcPr>
            <w:tcW w:type="dxa" w:w="7200"/>
            <w:vAlign w:val="top"/>
          </w:tcPr>
          <w:p>
            <w:r>
              <w:rPr>
                <w:rFonts w:ascii="Aptos" w:hAnsi="Aptos"/>
                <w:sz w:val="16"/>
              </w:rPr>
              <w:t>ULC Sverige lämnar ansökan om individuellt förordnande till Kammarkollegiet och tillhandahåller de uppgifter och den redogörelse som krävs.</w:t>
            </w:r>
          </w:p>
        </w:tc>
      </w:tr>
      <w:tr>
        <w:tc>
          <w:tcPr>
            <w:tcW w:type="dxa" w:w="2154"/>
            <w:vAlign w:val="top"/>
          </w:tcPr>
          <w:p>
            <w:r>
              <w:rPr>
                <w:rFonts w:ascii="Aptos" w:hAnsi="Aptos"/>
                <w:sz w:val="16"/>
              </w:rPr>
              <w:t>7. Tjänstgöring</w:t>
            </w:r>
          </w:p>
        </w:tc>
        <w:tc>
          <w:tcPr>
            <w:tcW w:type="dxa" w:w="7200"/>
            <w:vAlign w:val="top"/>
          </w:tcPr>
          <w:p>
            <w:r>
              <w:rPr>
                <w:rFonts w:ascii="Aptos" w:hAnsi="Aptos"/>
                <w:sz w:val="16"/>
              </w:rPr>
              <w:t>När förordnandet är meddelat kan personen förrätta juridiska vigslar inom ramen för ULC Sveriges ordning.</w:t>
            </w:r>
          </w:p>
        </w:tc>
      </w:tr>
    </w:tbl>
    <w:p>
      <w:pPr>
        <w:spacing w:after="0"/>
      </w:pPr>
    </w:p>
    <w:p>
      <w:pPr>
        <w:pStyle w:val="Heading2"/>
      </w:pPr>
      <w:r>
        <w:t>3.2 Titlar inom ULC Sverige</w:t>
      </w:r>
    </w:p>
    <w:p>
      <w:r>
        <w:rPr>
          <w:rFonts w:ascii="Aptos" w:hAnsi="Aptos"/>
          <w:b w:val="0"/>
          <w:i w:val="0"/>
          <w:sz w:val="20"/>
        </w:rPr>
        <w:t>ULC Sverige kan inom sin kyrkliga organisation använda titlar och funktioner som predikant, präst och kyrkoherde. Titel och kyrklig funktion är skilda från den statliga vigselbehörigheten. För juridisk vigsel i Sverige är det det individuella förordnandet som avgör behörigheten.</w:t>
      </w:r>
    </w:p>
    <w:p>
      <w:r>
        <w:rPr>
          <w:rFonts w:ascii="Aptos" w:hAnsi="Aptos"/>
          <w:b w:val="0"/>
          <w:i w:val="0"/>
          <w:sz w:val="20"/>
        </w:rPr>
        <w:t>Endast av ULC Sverige godkända och behöriga vigselförrättare får förrätta juridiska vigslar i ULC Sveriges namn.</w:t>
      </w:r>
    </w:p>
    <w:p>
      <w:pPr>
        <w:pStyle w:val="Heading2"/>
      </w:pPr>
      <w:r>
        <w:t>3.3 Praktiken</w:t>
      </w:r>
    </w:p>
    <w:p>
      <w:pPr>
        <w:pStyle w:val="ListBullet"/>
        <w:spacing w:after="50"/>
      </w:pPr>
      <w:r>
        <w:rPr>
          <w:rFonts w:ascii="Aptos" w:hAnsi="Aptos"/>
          <w:sz w:val="20"/>
        </w:rPr>
        <w:t>Närvaro vid verkliga vigslar med erfaren vigselförrättare.</w:t>
      </w:r>
    </w:p>
    <w:p>
      <w:pPr>
        <w:pStyle w:val="ListBullet"/>
        <w:spacing w:after="50"/>
      </w:pPr>
      <w:r>
        <w:rPr>
          <w:rFonts w:ascii="Aptos" w:hAnsi="Aptos"/>
          <w:sz w:val="20"/>
        </w:rPr>
        <w:t>Genomgång av hindersprövning och vigselintyg i övnings- eller avidentifierade fall.</w:t>
      </w:r>
    </w:p>
    <w:p>
      <w:pPr>
        <w:pStyle w:val="ListBullet"/>
        <w:spacing w:after="50"/>
      </w:pPr>
      <w:r>
        <w:rPr>
          <w:rFonts w:ascii="Aptos" w:hAnsi="Aptos"/>
          <w:sz w:val="20"/>
        </w:rPr>
        <w:t>Övning i att ställa de juridiska frågorna långsamt, tydligt och individuellt.</w:t>
      </w:r>
    </w:p>
    <w:p>
      <w:pPr>
        <w:pStyle w:val="ListBullet"/>
        <w:spacing w:after="50"/>
      </w:pPr>
      <w:r>
        <w:rPr>
          <w:rFonts w:ascii="Aptos" w:hAnsi="Aptos"/>
          <w:sz w:val="20"/>
        </w:rPr>
        <w:t>Rollspel där svar är otydliga, någon vill avbryta eller någon verkar påverkad.</w:t>
      </w:r>
    </w:p>
    <w:p>
      <w:pPr>
        <w:pStyle w:val="ListBullet"/>
        <w:spacing w:after="50"/>
      </w:pPr>
      <w:r>
        <w:rPr>
          <w:rFonts w:ascii="Aptos" w:hAnsi="Aptos"/>
          <w:sz w:val="20"/>
        </w:rPr>
        <w:t>Övning i kort, normal och längre ceremoni.</w:t>
      </w:r>
    </w:p>
    <w:p>
      <w:pPr>
        <w:pStyle w:val="ListBullet"/>
        <w:spacing w:after="50"/>
      </w:pPr>
      <w:r>
        <w:rPr>
          <w:rFonts w:ascii="Aptos" w:hAnsi="Aptos"/>
          <w:sz w:val="20"/>
        </w:rPr>
        <w:t>Planering av interfaith-, sekulär och traditionellt religiös ceremoni.</w:t>
      </w:r>
    </w:p>
    <w:p>
      <w:pPr>
        <w:pStyle w:val="ListBullet"/>
        <w:spacing w:after="50"/>
      </w:pPr>
      <w:r>
        <w:rPr>
          <w:rFonts w:ascii="Aptos" w:hAnsi="Aptos"/>
          <w:sz w:val="20"/>
        </w:rPr>
        <w:t>Genomgång av efterarbete: vigselbevis, registrering i ULC Sveriges system och myndighetsunderrättelse.</w:t>
      </w:r>
    </w:p>
    <w:p>
      <w:pPr>
        <w:pStyle w:val="Heading1"/>
      </w:pPr>
      <w:r>
        <w:t>4. Den juridiska kärnan i en vigsel</w:t>
      </w:r>
    </w:p>
    <w:tbl>
      <w:tblPr>
        <w:tblW w:type="auto" w:w="0"/>
        <w:jc w:val="center"/>
        <w:tblLook w:firstColumn="1" w:firstRow="1" w:lastColumn="0" w:lastRow="0" w:noHBand="0" w:noVBand="1" w:val="04A0"/>
      </w:tblPr>
      <w:tblGrid>
        <w:gridCol w:w="9972"/>
      </w:tblGrid>
      <w:tr>
        <w:tc>
          <w:tcPr>
            <w:tcW w:type="dxa" w:w="9972"/>
            <w:shd w:fill="FBEDEB"/>
            <w:tcBorders>
              <w:top w:val="single" w:sz="5" w:color="A23B32"/>
              <w:bottom w:val="single" w:sz="5" w:color="A23B32"/>
              <w:left w:val="single" w:sz="12" w:color="A23B32"/>
              <w:right w:val="single" w:sz="5" w:color="A23B32"/>
            </w:tcBorders>
          </w:tcPr>
          <w:p>
            <w:r>
              <w:rPr>
                <w:rFonts w:ascii="Aptos" w:hAnsi="Aptos"/>
                <w:b/>
                <w:color w:val="A23B32"/>
                <w:sz w:val="21"/>
              </w:rPr>
              <w:t>Det som aldrig får hoppas över</w:t>
            </w:r>
          </w:p>
          <w:p>
            <w:pPr>
              <w:spacing w:after="60"/>
            </w:pPr>
            <w:r>
              <w:rPr>
                <w:rFonts w:ascii="Aptos" w:hAnsi="Aptos"/>
                <w:sz w:val="19"/>
              </w:rPr>
              <w:t>Båda personerna ska vara närvarande samtidigt. Var och en ska få en egen fråga och tydligt samtycka. Först därefter ska vigselförrättaren uttryckligen förklara dem vara makar.</w:t>
            </w:r>
          </w:p>
        </w:tc>
      </w:tr>
    </w:tbl>
    <w:p>
      <w:pPr>
        <w:spacing w:after="0"/>
      </w:pPr>
    </w:p>
    <w:p>
      <w:pPr>
        <w:pStyle w:val="Heading2"/>
      </w:pPr>
      <w:r>
        <w:t>4.1 ULC Sveriges låsta formulering</w:t>
      </w: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OBLIGATORISK JURIDISK KÄRNA</w:t>
            </w:r>
          </w:p>
          <w:p>
            <w:pPr>
              <w:spacing w:after="60"/>
            </w:pPr>
            <w:r>
              <w:rPr>
                <w:rFonts w:ascii="Aptos" w:hAnsi="Aptos"/>
                <w:b/>
                <w:sz w:val="20"/>
              </w:rPr>
              <w:t xml:space="preserve">Vigselförrättaren till person A: </w:t>
            </w:r>
            <w:r>
              <w:rPr>
                <w:rFonts w:ascii="Aptos" w:hAnsi="Aptos"/>
                <w:sz w:val="20"/>
              </w:rPr>
              <w:t>[Namn], samtycker du till att ingå äktenskap med [Namn]?</w:t>
            </w:r>
          </w:p>
          <w:p>
            <w:pPr>
              <w:spacing w:after="60"/>
            </w:pPr>
            <w:r>
              <w:rPr>
                <w:rFonts w:ascii="Aptos" w:hAnsi="Aptos"/>
                <w:b/>
                <w:sz w:val="20"/>
              </w:rPr>
              <w:t xml:space="preserve">Person A: </w:t>
            </w:r>
            <w:r>
              <w:rPr>
                <w:rFonts w:ascii="Aptos" w:hAnsi="Aptos"/>
                <w:sz w:val="20"/>
              </w:rPr>
              <w:t>Ja.</w:t>
            </w:r>
          </w:p>
          <w:p>
            <w:pPr>
              <w:spacing w:after="60"/>
            </w:pPr>
            <w:r>
              <w:rPr>
                <w:rFonts w:ascii="Aptos" w:hAnsi="Aptos"/>
                <w:b/>
                <w:sz w:val="20"/>
              </w:rPr>
              <w:t xml:space="preserve">Vigselförrättaren till person B: </w:t>
            </w:r>
            <w:r>
              <w:rPr>
                <w:rFonts w:ascii="Aptos" w:hAnsi="Aptos"/>
                <w:sz w:val="20"/>
              </w:rPr>
              <w:t>[Namn], samtycker du till att ingå äktenskap med [Namn]?</w:t>
            </w:r>
          </w:p>
          <w:p>
            <w:pPr>
              <w:spacing w:after="60"/>
            </w:pPr>
            <w:r>
              <w:rPr>
                <w:rFonts w:ascii="Aptos" w:hAnsi="Aptos"/>
                <w:b/>
                <w:sz w:val="20"/>
              </w:rPr>
              <w:t xml:space="preserve">Person B: </w:t>
            </w:r>
            <w:r>
              <w:rPr>
                <w:rFonts w:ascii="Aptos" w:hAnsi="Aptos"/>
                <w:sz w:val="20"/>
              </w:rPr>
              <w:t>Ja.</w:t>
            </w:r>
          </w:p>
          <w:p>
            <w:pPr>
              <w:spacing w:after="60"/>
            </w:pPr>
            <w:r>
              <w:rPr>
                <w:rFonts w:ascii="Aptos" w:hAnsi="Aptos"/>
                <w:b/>
                <w:sz w:val="20"/>
              </w:rPr>
              <w:t xml:space="preserve">Vigselförrättaren: </w:t>
            </w:r>
            <w:r>
              <w:rPr>
                <w:rFonts w:ascii="Aptos" w:hAnsi="Aptos"/>
                <w:sz w:val="20"/>
              </w:rPr>
              <w:t>Ni har var för sig samtyckt till att ingå äktenskap med varandra. Med stöd av mitt förordnande som vigselförrättare inom Universal Life Church Sverige förklarar jag er härmed vara makar.</w:t>
            </w:r>
          </w:p>
        </w:tc>
      </w:tr>
    </w:tbl>
    <w:p>
      <w:pPr>
        <w:spacing w:after="0"/>
      </w:pPr>
    </w:p>
    <w:p>
      <w:r>
        <w:rPr>
          <w:rFonts w:ascii="Aptos" w:hAnsi="Aptos"/>
          <w:b w:val="0"/>
          <w:i w:val="0"/>
          <w:sz w:val="20"/>
        </w:rPr>
        <w:t>Formuleringen är medvetet kort och könsneutral. Ordet 'samtycker' ligger nära äktenskapsbalkens språk, och ordet 'makar' används i själva makaförklaringen.</w:t>
      </w:r>
    </w:p>
    <w:p>
      <w:r>
        <w:rPr>
          <w:rFonts w:ascii="Aptos" w:hAnsi="Aptos"/>
          <w:b w:val="0"/>
          <w:i w:val="0"/>
          <w:sz w:val="20"/>
        </w:rPr>
        <w:t>Vid behov av teckenspråk, alternativ kommunikation eller tolkning får formen anpassas så att personen på ett otvetydigt sätt kan ge sitt samtycke. Innebörden får inte försvagas.</w:t>
      </w:r>
    </w:p>
    <w:p>
      <w:pPr>
        <w:pStyle w:val="Heading2"/>
      </w:pPr>
      <w:r>
        <w:t>4.2 Valfria moment</w:t>
      </w:r>
    </w:p>
    <w:p>
      <w:pPr>
        <w:pStyle w:val="ListBullet"/>
        <w:spacing w:after="50"/>
      </w:pPr>
      <w:r>
        <w:rPr>
          <w:rFonts w:ascii="Aptos" w:hAnsi="Aptos"/>
          <w:sz w:val="20"/>
        </w:rPr>
        <w:t>Personliga löften</w:t>
      </w:r>
    </w:p>
    <w:p>
      <w:pPr>
        <w:pStyle w:val="ListBullet"/>
        <w:spacing w:after="50"/>
      </w:pPr>
      <w:r>
        <w:rPr>
          <w:rFonts w:ascii="Aptos" w:hAnsi="Aptos"/>
          <w:sz w:val="20"/>
        </w:rPr>
        <w:t>Ringar</w:t>
      </w:r>
    </w:p>
    <w:p>
      <w:pPr>
        <w:pStyle w:val="ListBullet"/>
        <w:spacing w:after="50"/>
      </w:pPr>
      <w:r>
        <w:rPr>
          <w:rFonts w:ascii="Aptos" w:hAnsi="Aptos"/>
          <w:sz w:val="20"/>
        </w:rPr>
        <w:t>Bön eller välsignelse</w:t>
      </w:r>
    </w:p>
    <w:p>
      <w:pPr>
        <w:pStyle w:val="ListBullet"/>
        <w:spacing w:after="50"/>
      </w:pPr>
      <w:r>
        <w:rPr>
          <w:rFonts w:ascii="Aptos" w:hAnsi="Aptos"/>
          <w:sz w:val="20"/>
        </w:rPr>
        <w:t>Dikt eller läsning</w:t>
      </w:r>
    </w:p>
    <w:p>
      <w:pPr>
        <w:pStyle w:val="ListBullet"/>
        <w:spacing w:after="50"/>
      </w:pPr>
      <w:r>
        <w:rPr>
          <w:rFonts w:ascii="Aptos" w:hAnsi="Aptos"/>
          <w:sz w:val="20"/>
        </w:rPr>
        <w:t>Musik</w:t>
      </w:r>
    </w:p>
    <w:p>
      <w:pPr>
        <w:pStyle w:val="ListBullet"/>
        <w:spacing w:after="50"/>
      </w:pPr>
      <w:r>
        <w:rPr>
          <w:rFonts w:ascii="Aptos" w:hAnsi="Aptos"/>
          <w:sz w:val="20"/>
        </w:rPr>
        <w:t>Handfasting</w:t>
      </w:r>
    </w:p>
    <w:p>
      <w:pPr>
        <w:pStyle w:val="ListBullet"/>
        <w:spacing w:after="50"/>
      </w:pPr>
      <w:r>
        <w:rPr>
          <w:rFonts w:ascii="Aptos" w:hAnsi="Aptos"/>
          <w:sz w:val="20"/>
        </w:rPr>
        <w:t>Sand- eller ljusritual</w:t>
      </w:r>
    </w:p>
    <w:p>
      <w:pPr>
        <w:pStyle w:val="ListBullet"/>
        <w:spacing w:after="50"/>
      </w:pPr>
      <w:r>
        <w:rPr>
          <w:rFonts w:ascii="Aptos" w:hAnsi="Aptos"/>
          <w:sz w:val="20"/>
        </w:rPr>
        <w:t>Familjemedverkan</w:t>
      </w:r>
    </w:p>
    <w:p>
      <w:pPr>
        <w:pStyle w:val="ListBullet"/>
        <w:spacing w:after="50"/>
      </w:pPr>
      <w:r>
        <w:rPr>
          <w:rFonts w:ascii="Aptos" w:hAnsi="Aptos"/>
          <w:sz w:val="20"/>
        </w:rPr>
        <w:t>Kyss</w:t>
      </w:r>
    </w:p>
    <w:p>
      <w:pPr>
        <w:pStyle w:val="ListBullet"/>
        <w:spacing w:after="50"/>
      </w:pPr>
      <w:r>
        <w:rPr>
          <w:rFonts w:ascii="Aptos" w:hAnsi="Aptos"/>
          <w:sz w:val="20"/>
        </w:rPr>
        <w:t>Presentation av paret</w:t>
      </w:r>
    </w:p>
    <w:p>
      <w:r>
        <w:rPr>
          <w:rFonts w:ascii="Aptos" w:hAnsi="Aptos"/>
          <w:b w:val="0"/>
          <w:i w:val="0"/>
          <w:sz w:val="20"/>
        </w:rPr>
        <w:t>Inget valfritt moment ersätter den juridiska kärnan.</w:t>
      </w:r>
    </w:p>
    <w:p>
      <w:pPr>
        <w:pStyle w:val="Heading1"/>
      </w:pPr>
      <w:r>
        <w:t>5. Roller och ansvar</w:t>
      </w:r>
    </w:p>
    <w:tbl>
      <w:tblPr>
        <w:tblStyle w:val="TableGrid"/>
        <w:tblW w:type="auto" w:w="0"/>
        <w:jc w:val="center"/>
        <w:tblLook w:firstColumn="1" w:firstRow="1" w:lastColumn="0" w:lastRow="0" w:noHBand="0" w:noVBand="1" w:val="04A0"/>
      </w:tblPr>
      <w:tblGrid>
        <w:gridCol w:w="4986"/>
        <w:gridCol w:w="4986"/>
      </w:tblGrid>
      <w:tr>
        <w:trPr>
          <w:tblHeader w:val="true"/>
        </w:trPr>
        <w:tc>
          <w:tcPr>
            <w:tcW w:type="dxa" w:w="2608"/>
            <w:shd w:fill="0A2B55"/>
            <w:vAlign w:val="center"/>
          </w:tcPr>
          <w:p>
            <w:r>
              <w:rPr>
                <w:rFonts w:ascii="Aptos" w:hAnsi="Aptos"/>
                <w:b/>
                <w:color w:val="FFFFFF"/>
                <w:sz w:val="17"/>
              </w:rPr>
              <w:t>Roll</w:t>
            </w:r>
          </w:p>
        </w:tc>
        <w:tc>
          <w:tcPr>
            <w:tcW w:type="dxa" w:w="6746"/>
            <w:shd w:fill="0A2B55"/>
            <w:vAlign w:val="center"/>
          </w:tcPr>
          <w:p>
            <w:r>
              <w:rPr>
                <w:rFonts w:ascii="Aptos" w:hAnsi="Aptos"/>
                <w:b/>
                <w:color w:val="FFFFFF"/>
                <w:sz w:val="17"/>
              </w:rPr>
              <w:t>Ansvar</w:t>
            </w:r>
          </w:p>
        </w:tc>
      </w:tr>
      <w:tr>
        <w:tc>
          <w:tcPr>
            <w:tcW w:type="dxa" w:w="2608"/>
            <w:vAlign w:val="top"/>
          </w:tcPr>
          <w:p>
            <w:r>
              <w:rPr>
                <w:rFonts w:ascii="Aptos" w:hAnsi="Aptos"/>
                <w:sz w:val="17"/>
              </w:rPr>
              <w:t>Vigselförrättaren</w:t>
            </w:r>
          </w:p>
        </w:tc>
        <w:tc>
          <w:tcPr>
            <w:tcW w:type="dxa" w:w="6746"/>
            <w:vAlign w:val="top"/>
          </w:tcPr>
          <w:p>
            <w:r>
              <w:rPr>
                <w:rFonts w:ascii="Aptos" w:hAnsi="Aptos"/>
                <w:sz w:val="17"/>
              </w:rPr>
              <w:t>Ansvarar för hindersprövning, identitet, frivillighet, den juridiska kärnan, vigselbevis, registrering och att underlag är fullständiga.</w:t>
            </w:r>
          </w:p>
        </w:tc>
      </w:tr>
      <w:tr>
        <w:tc>
          <w:tcPr>
            <w:tcW w:type="dxa" w:w="2608"/>
            <w:vAlign w:val="top"/>
          </w:tcPr>
          <w:p>
            <w:r>
              <w:rPr>
                <w:rFonts w:ascii="Aptos" w:hAnsi="Aptos"/>
                <w:sz w:val="17"/>
              </w:rPr>
              <w:t>Vigselansvarig inom ULC Sverige</w:t>
            </w:r>
          </w:p>
        </w:tc>
        <w:tc>
          <w:tcPr>
            <w:tcW w:type="dxa" w:w="6746"/>
            <w:vAlign w:val="top"/>
          </w:tcPr>
          <w:p>
            <w:r>
              <w:rPr>
                <w:rFonts w:ascii="Aptos" w:hAnsi="Aptos"/>
                <w:sz w:val="17"/>
              </w:rPr>
              <w:t>Förvaltar vigselordningen, stödjer vigselförrättare, ansvarar för utbildning/uppföljning och hanterar svåra eller avvikande fall.</w:t>
            </w:r>
          </w:p>
        </w:tc>
      </w:tr>
      <w:tr>
        <w:tc>
          <w:tcPr>
            <w:tcW w:type="dxa" w:w="2608"/>
            <w:vAlign w:val="top"/>
          </w:tcPr>
          <w:p>
            <w:r>
              <w:rPr>
                <w:rFonts w:ascii="Aptos" w:hAnsi="Aptos"/>
                <w:sz w:val="17"/>
              </w:rPr>
              <w:t>Handledare</w:t>
            </w:r>
          </w:p>
        </w:tc>
        <w:tc>
          <w:tcPr>
            <w:tcW w:type="dxa" w:w="6746"/>
            <w:vAlign w:val="top"/>
          </w:tcPr>
          <w:p>
            <w:r>
              <w:rPr>
                <w:rFonts w:ascii="Aptos" w:hAnsi="Aptos"/>
                <w:sz w:val="17"/>
              </w:rPr>
              <w:t>Stödjer kandidater under praktik och bedömer praktisk färdighet.</w:t>
            </w:r>
          </w:p>
        </w:tc>
      </w:tr>
      <w:tr>
        <w:tc>
          <w:tcPr>
            <w:tcW w:type="dxa" w:w="2608"/>
            <w:vAlign w:val="top"/>
          </w:tcPr>
          <w:p>
            <w:r>
              <w:rPr>
                <w:rFonts w:ascii="Aptos" w:hAnsi="Aptos"/>
                <w:sz w:val="17"/>
              </w:rPr>
              <w:t>ULC Sveriges ledning</w:t>
            </w:r>
          </w:p>
        </w:tc>
        <w:tc>
          <w:tcPr>
            <w:tcW w:type="dxa" w:w="6746"/>
            <w:vAlign w:val="top"/>
          </w:tcPr>
          <w:p>
            <w:r>
              <w:rPr>
                <w:rFonts w:ascii="Aptos" w:hAnsi="Aptos"/>
                <w:sz w:val="17"/>
              </w:rPr>
              <w:t>Utser interna funktioner, beslutar om vigselordning och godkänner kandidater före ansökan till Kammarkollegiet.</w:t>
            </w:r>
          </w:p>
        </w:tc>
      </w:tr>
    </w:tbl>
    <w:p>
      <w:pPr>
        <w:spacing w:after="0"/>
      </w:pPr>
    </w:p>
    <w:p>
      <w:r>
        <w:rPr>
          <w:rFonts w:ascii="Aptos" w:hAnsi="Aptos"/>
          <w:b w:val="0"/>
          <w:i w:val="0"/>
          <w:sz w:val="20"/>
        </w:rPr>
        <w:t>Vigselförrättaren har alltid rätt och skyldighet att avstå från eller avbryta en vigsel om förutsättningarna inte är uppfyllda.</w:t>
      </w:r>
    </w:p>
    <w:p>
      <w:pPr>
        <w:pStyle w:val="Heading1"/>
      </w:pPr>
      <w:r>
        <w:t>6. Från första kontakt till vigseldag</w:t>
      </w:r>
    </w:p>
    <w:p>
      <w:r>
        <w:rPr>
          <w:rFonts w:ascii="Aptos" w:hAnsi="Aptos"/>
          <w:b w:val="0"/>
          <w:i w:val="0"/>
          <w:sz w:val="20"/>
        </w:rPr>
        <w:t>En vigsel kan planeras och registreras i förväg, men ULC Sverige kräver inte att ett vigselärende finns i systemet före ceremonin. En vigselförrättare kan ta emot en förfrågan, genomföra kontrollerna och förrätta vigseln, och därefter skapa registreringen och ladda upp handlingarna vid registreringstillfället.</w:t>
      </w:r>
    </w:p>
    <w:p>
      <w:r>
        <w:rPr>
          <w:rFonts w:ascii="Aptos" w:hAnsi="Aptos"/>
          <w:b w:val="0"/>
          <w:i w:val="0"/>
          <w:sz w:val="20"/>
        </w:rPr>
        <w:t>Detta gör processen flexibel utan att minska de juridiska kontrollerna. Det som måste vara klart före vigseln är de rättsliga förutsättningarna – inte den interna systemregistreringen.</w:t>
      </w:r>
    </w:p>
    <w:p>
      <w:pPr>
        <w:pStyle w:val="Heading2"/>
      </w:pPr>
      <w:r>
        <w:t>6.1 Första samtalet</w:t>
      </w:r>
    </w:p>
    <w:p>
      <w:pPr>
        <w:pStyle w:val="Checklist"/>
      </w:pPr>
      <w:r>
        <w:rPr>
          <w:rFonts w:ascii="Aptos" w:hAnsi="Aptos"/>
          <w:b/>
          <w:color w:val="0A2B55"/>
        </w:rPr>
        <w:t xml:space="preserve">☐ </w:t>
      </w:r>
      <w:r>
        <w:rPr>
          <w:rFonts w:ascii="Aptos" w:hAnsi="Aptos"/>
          <w:sz w:val="20"/>
        </w:rPr>
        <w:t>Datum, tid och plats.</w:t>
      </w:r>
    </w:p>
    <w:p>
      <w:pPr>
        <w:pStyle w:val="Checklist"/>
      </w:pPr>
      <w:r>
        <w:rPr>
          <w:rFonts w:ascii="Aptos" w:hAnsi="Aptos"/>
          <w:b/>
          <w:color w:val="0A2B55"/>
        </w:rPr>
        <w:t xml:space="preserve">☐ </w:t>
      </w:r>
      <w:r>
        <w:rPr>
          <w:rFonts w:ascii="Aptos" w:hAnsi="Aptos"/>
          <w:sz w:val="20"/>
        </w:rPr>
        <w:t>Om paret önskar juridisk vigsel eller enbart symbolisk ceremoni.</w:t>
      </w:r>
    </w:p>
    <w:p>
      <w:pPr>
        <w:pStyle w:val="Checklist"/>
      </w:pPr>
      <w:r>
        <w:rPr>
          <w:rFonts w:ascii="Aptos" w:hAnsi="Aptos"/>
          <w:b/>
          <w:color w:val="0A2B55"/>
        </w:rPr>
        <w:t xml:space="preserve">☐ </w:t>
      </w:r>
      <w:r>
        <w:rPr>
          <w:rFonts w:ascii="Aptos" w:hAnsi="Aptos"/>
          <w:sz w:val="20"/>
        </w:rPr>
        <w:t>Vilka språk paret använder och om tolk eller kommunikationsstöd behövs.</w:t>
      </w:r>
    </w:p>
    <w:p>
      <w:pPr>
        <w:pStyle w:val="Checklist"/>
      </w:pPr>
      <w:r>
        <w:rPr>
          <w:rFonts w:ascii="Aptos" w:hAnsi="Aptos"/>
          <w:b/>
          <w:color w:val="0A2B55"/>
        </w:rPr>
        <w:t xml:space="preserve">☐ </w:t>
      </w:r>
      <w:r>
        <w:rPr>
          <w:rFonts w:ascii="Aptos" w:hAnsi="Aptos"/>
          <w:sz w:val="20"/>
        </w:rPr>
        <w:t>Tillgänglighetsbehov.</w:t>
      </w:r>
    </w:p>
    <w:p>
      <w:pPr>
        <w:pStyle w:val="Checklist"/>
      </w:pPr>
      <w:r>
        <w:rPr>
          <w:rFonts w:ascii="Aptos" w:hAnsi="Aptos"/>
          <w:b/>
          <w:color w:val="0A2B55"/>
        </w:rPr>
        <w:t xml:space="preserve">☐ </w:t>
      </w:r>
      <w:r>
        <w:rPr>
          <w:rFonts w:ascii="Aptos" w:hAnsi="Aptos"/>
          <w:sz w:val="20"/>
        </w:rPr>
        <w:t>Vilken ceremoniell ton paret önskar: religiös, interfaith, sekulär eller blandad.</w:t>
      </w:r>
    </w:p>
    <w:p>
      <w:pPr>
        <w:pStyle w:val="Checklist"/>
      </w:pPr>
      <w:r>
        <w:rPr>
          <w:rFonts w:ascii="Aptos" w:hAnsi="Aptos"/>
          <w:b/>
          <w:color w:val="0A2B55"/>
        </w:rPr>
        <w:t xml:space="preserve">☐ </w:t>
      </w:r>
      <w:r>
        <w:rPr>
          <w:rFonts w:ascii="Aptos" w:hAnsi="Aptos"/>
          <w:sz w:val="20"/>
        </w:rPr>
        <w:t>Vilka namn, pronomen och titlar paret vill använda i ceremonin.</w:t>
      </w:r>
    </w:p>
    <w:p>
      <w:pPr>
        <w:pStyle w:val="Checklist"/>
      </w:pPr>
      <w:r>
        <w:rPr>
          <w:rFonts w:ascii="Aptos" w:hAnsi="Aptos"/>
          <w:b/>
          <w:color w:val="0A2B55"/>
        </w:rPr>
        <w:t xml:space="preserve">☐ </w:t>
      </w:r>
      <w:r>
        <w:rPr>
          <w:rFonts w:ascii="Aptos" w:hAnsi="Aptos"/>
          <w:sz w:val="20"/>
        </w:rPr>
        <w:t>Om paret vill skriva egna löften eller använda ULC Sveriges standardtext.</w:t>
      </w:r>
    </w:p>
    <w:p>
      <w:pPr>
        <w:pStyle w:val="Checklist"/>
      </w:pPr>
      <w:r>
        <w:rPr>
          <w:rFonts w:ascii="Aptos" w:hAnsi="Aptos"/>
          <w:b/>
          <w:color w:val="0A2B55"/>
        </w:rPr>
        <w:t xml:space="preserve">☐ </w:t>
      </w:r>
      <w:r>
        <w:rPr>
          <w:rFonts w:ascii="Aptos" w:hAnsi="Aptos"/>
          <w:sz w:val="20"/>
        </w:rPr>
        <w:t>Vilka som ska vara vittnen.</w:t>
      </w:r>
    </w:p>
    <w:p>
      <w:pPr>
        <w:pStyle w:val="Checklist"/>
      </w:pPr>
      <w:r>
        <w:rPr>
          <w:rFonts w:ascii="Aptos" w:hAnsi="Aptos"/>
          <w:b/>
          <w:color w:val="0A2B55"/>
        </w:rPr>
        <w:t xml:space="preserve">☐ </w:t>
      </w:r>
      <w:r>
        <w:rPr>
          <w:rFonts w:ascii="Aptos" w:hAnsi="Aptos"/>
          <w:sz w:val="20"/>
        </w:rPr>
        <w:t>Om något i tid, handlingar eller situation behöver särskild uppmärksamhet.</w:t>
      </w:r>
    </w:p>
    <w:p>
      <w:pPr>
        <w:pStyle w:val="Heading2"/>
      </w:pPr>
      <w:r>
        <w:t>6.2 Ingen förhandsregistrering krävs</w:t>
      </w:r>
    </w:p>
    <w:tbl>
      <w:tblPr>
        <w:tblW w:type="auto" w:w="0"/>
        <w:jc w:val="center"/>
        <w:tblLook w:firstColumn="1" w:firstRow="1" w:lastColumn="0" w:lastRow="0" w:noHBand="0" w:noVBand="1" w:val="04A0"/>
      </w:tblPr>
      <w:tblGrid>
        <w:gridCol w:w="9972"/>
      </w:tblGrid>
      <w:tr>
        <w:tc>
          <w:tcPr>
            <w:tcW w:type="dxa" w:w="9972"/>
            <w:shd w:fill="EAF1F8"/>
            <w:tcBorders>
              <w:top w:val="single" w:sz="5" w:color="0A2B55"/>
              <w:bottom w:val="single" w:sz="5" w:color="0A2B55"/>
              <w:left w:val="single" w:sz="12" w:color="0A2B55"/>
              <w:right w:val="single" w:sz="5" w:color="0A2B55"/>
            </w:tcBorders>
          </w:tcPr>
          <w:p>
            <w:r>
              <w:rPr>
                <w:rFonts w:ascii="Aptos" w:hAnsi="Aptos"/>
                <w:b/>
                <w:color w:val="0A2B55"/>
                <w:sz w:val="21"/>
              </w:rPr>
              <w:t>Processregel</w:t>
            </w:r>
          </w:p>
          <w:p>
            <w:pPr>
              <w:spacing w:after="60"/>
            </w:pPr>
            <w:r>
              <w:rPr>
                <w:rFonts w:ascii="Aptos" w:hAnsi="Aptos"/>
                <w:sz w:val="19"/>
              </w:rPr>
              <w:t>En juridisk vigsel behöver inte registreras i ULC Sveriges system innan den äger rum. Vigselförrättaren kan registrera vigseln direkt efter förrättningen och då ladda upp samtliga handlingar. Förhandsregistrering används när det är praktiskt, men är inte ett villkor för att genomföra vigseln.</w:t>
            </w:r>
          </w:p>
        </w:tc>
      </w:tr>
    </w:tbl>
    <w:p>
      <w:pPr>
        <w:spacing w:after="0"/>
      </w:pPr>
    </w:p>
    <w:p>
      <w:r>
        <w:rPr>
          <w:rFonts w:ascii="Aptos" w:hAnsi="Aptos"/>
          <w:b w:val="0"/>
          <w:i w:val="0"/>
          <w:sz w:val="20"/>
        </w:rPr>
        <w:t>Oavsett om vigseln är förhandsregistrerad eller inte ska vigselförrättaren före ceremonin själv ha kontrollerat hindersprövning, identitet och övriga krav.</w:t>
      </w:r>
    </w:p>
    <w:p>
      <w:pPr>
        <w:pStyle w:val="Heading1"/>
      </w:pPr>
      <w:r>
        <w:t>7. Hindersprövning och identitetskontroll</w:t>
      </w:r>
    </w:p>
    <w:p>
      <w:pPr>
        <w:pStyle w:val="Heading2"/>
      </w:pPr>
      <w:r>
        <w:t>7.1 Hindersprövning</w:t>
      </w:r>
    </w:p>
    <w:p>
      <w:r>
        <w:rPr>
          <w:rFonts w:ascii="Aptos" w:hAnsi="Aptos"/>
          <w:b w:val="0"/>
          <w:i w:val="0"/>
          <w:sz w:val="20"/>
        </w:rPr>
        <w:t>Före vigseln ska vigselförrättaren förvissa sig om att hindersprövning har skett inom fyra månader före den planerade vigseln och att inget hinder har framkommit.</w:t>
      </w:r>
    </w:p>
    <w:p>
      <w:pPr>
        <w:pStyle w:val="Checklist"/>
      </w:pPr>
      <w:r>
        <w:rPr>
          <w:rFonts w:ascii="Aptos" w:hAnsi="Aptos"/>
          <w:b/>
          <w:color w:val="0A2B55"/>
        </w:rPr>
        <w:t xml:space="preserve">☐ </w:t>
      </w:r>
      <w:r>
        <w:rPr>
          <w:rFonts w:ascii="Aptos" w:hAnsi="Aptos"/>
          <w:sz w:val="20"/>
        </w:rPr>
        <w:t>Kontrollera att intyget avser de två personer som ska vigas.</w:t>
      </w:r>
    </w:p>
    <w:p>
      <w:pPr>
        <w:pStyle w:val="Checklist"/>
      </w:pPr>
      <w:r>
        <w:rPr>
          <w:rFonts w:ascii="Aptos" w:hAnsi="Aptos"/>
          <w:b/>
          <w:color w:val="0A2B55"/>
        </w:rPr>
        <w:t xml:space="preserve">☐ </w:t>
      </w:r>
      <w:r>
        <w:rPr>
          <w:rFonts w:ascii="Aptos" w:hAnsi="Aptos"/>
          <w:sz w:val="20"/>
        </w:rPr>
        <w:t>Kontrollera datum och att fyramånadersfristen täcker vigseldagen.</w:t>
      </w:r>
    </w:p>
    <w:p>
      <w:pPr>
        <w:pStyle w:val="Checklist"/>
      </w:pPr>
      <w:r>
        <w:rPr>
          <w:rFonts w:ascii="Aptos" w:hAnsi="Aptos"/>
          <w:b/>
          <w:color w:val="0A2B55"/>
        </w:rPr>
        <w:t xml:space="preserve">☐ </w:t>
      </w:r>
      <w:r>
        <w:rPr>
          <w:rFonts w:ascii="Aptos" w:hAnsi="Aptos"/>
          <w:sz w:val="20"/>
        </w:rPr>
        <w:t>Kontrollera vigselintyget och övriga handlingar som följer med hindersprövningen.</w:t>
      </w:r>
    </w:p>
    <w:p>
      <w:pPr>
        <w:pStyle w:val="Checklist"/>
      </w:pPr>
      <w:r>
        <w:rPr>
          <w:rFonts w:ascii="Aptos" w:hAnsi="Aptos"/>
          <w:b/>
          <w:color w:val="0A2B55"/>
        </w:rPr>
        <w:t xml:space="preserve">☐ </w:t>
      </w:r>
      <w:r>
        <w:rPr>
          <w:rFonts w:ascii="Aptos" w:hAnsi="Aptos"/>
          <w:sz w:val="20"/>
        </w:rPr>
        <w:t>Vid oklarhet, motsägelse eller misstänkt manipulation: avstå från vigsel tills frågan är utredd.</w:t>
      </w:r>
    </w:p>
    <w:p>
      <w:pPr>
        <w:pStyle w:val="Checklist"/>
      </w:pPr>
      <w:r>
        <w:rPr>
          <w:rFonts w:ascii="Aptos" w:hAnsi="Aptos"/>
          <w:b/>
          <w:color w:val="0A2B55"/>
        </w:rPr>
        <w:t xml:space="preserve">☐ </w:t>
      </w:r>
      <w:r>
        <w:rPr>
          <w:rFonts w:ascii="Aptos" w:hAnsi="Aptos"/>
          <w:sz w:val="20"/>
        </w:rPr>
        <w:t>Om vigselförrättaren får kännedom om en konkret omständighet som kan innebära äktenskapshinder ska vigseln inte genomföras förrän det är klarlagt att vigsel kan ske.</w:t>
      </w:r>
    </w:p>
    <w:p>
      <w:pPr>
        <w:pStyle w:val="Heading2"/>
      </w:pPr>
      <w:r>
        <w:t>7.2 Identitet</w:t>
      </w:r>
    </w:p>
    <w:p>
      <w:r>
        <w:rPr>
          <w:rFonts w:ascii="Aptos" w:hAnsi="Aptos"/>
          <w:b w:val="0"/>
          <w:i w:val="0"/>
          <w:sz w:val="20"/>
        </w:rPr>
        <w:t>Vigselförrättaren ska säkerställa att rätt personer står framför honom, henne eller hen. Identitetskontrollen ska vara saklig och respektfull och görs normalt mot giltig identitetshandling.</w:t>
      </w:r>
    </w:p>
    <w:p>
      <w:pPr>
        <w:pStyle w:val="Checklist"/>
      </w:pPr>
      <w:r>
        <w:rPr>
          <w:rFonts w:ascii="Aptos" w:hAnsi="Aptos"/>
          <w:b/>
          <w:color w:val="0A2B55"/>
        </w:rPr>
        <w:t xml:space="preserve">☐ </w:t>
      </w:r>
      <w:r>
        <w:rPr>
          <w:rFonts w:ascii="Aptos" w:hAnsi="Aptos"/>
          <w:sz w:val="20"/>
        </w:rPr>
        <w:t>Jämför identitetshandlingens namn och foto med personen.</w:t>
      </w:r>
    </w:p>
    <w:p>
      <w:pPr>
        <w:pStyle w:val="Checklist"/>
      </w:pPr>
      <w:r>
        <w:rPr>
          <w:rFonts w:ascii="Aptos" w:hAnsi="Aptos"/>
          <w:b/>
          <w:color w:val="0A2B55"/>
        </w:rPr>
        <w:t xml:space="preserve">☐ </w:t>
      </w:r>
      <w:r>
        <w:rPr>
          <w:rFonts w:ascii="Aptos" w:hAnsi="Aptos"/>
          <w:sz w:val="20"/>
        </w:rPr>
        <w:t>Jämför uppgifterna med hindersprövning och vigselintyg.</w:t>
      </w:r>
    </w:p>
    <w:p>
      <w:pPr>
        <w:pStyle w:val="Checklist"/>
      </w:pPr>
      <w:r>
        <w:rPr>
          <w:rFonts w:ascii="Aptos" w:hAnsi="Aptos"/>
          <w:b/>
          <w:color w:val="0A2B55"/>
        </w:rPr>
        <w:t xml:space="preserve">☐ </w:t>
      </w:r>
      <w:r>
        <w:rPr>
          <w:rFonts w:ascii="Aptos" w:hAnsi="Aptos"/>
          <w:sz w:val="20"/>
        </w:rPr>
        <w:t>Vid namnbyte eller olika translittereringar ska sambandet mellan uppgifterna kunna förklaras och dokumenteras.</w:t>
      </w:r>
    </w:p>
    <w:p>
      <w:pPr>
        <w:pStyle w:val="Checklist"/>
      </w:pPr>
      <w:r>
        <w:rPr>
          <w:rFonts w:ascii="Aptos" w:hAnsi="Aptos"/>
          <w:b/>
          <w:color w:val="0A2B55"/>
        </w:rPr>
        <w:t xml:space="preserve">☐ </w:t>
      </w:r>
      <w:r>
        <w:rPr>
          <w:rFonts w:ascii="Aptos" w:hAnsi="Aptos"/>
          <w:sz w:val="20"/>
        </w:rPr>
        <w:t>Om identiteten inte kan fastställas med tillräcklig säkerhet ska vigseln skjutas upp.</w:t>
      </w:r>
    </w:p>
    <w:p>
      <w:r>
        <w:rPr>
          <w:rFonts w:ascii="Aptos" w:hAnsi="Aptos"/>
          <w:b w:val="0"/>
          <w:i w:val="0"/>
          <w:sz w:val="20"/>
        </w:rPr>
        <w:t>ULC Sverige lagrar normalt inte kopior av legitimation. Det räcker att dokumentera att identiteten har kontrollerats, om inte ett särskilt behov kräver annat.</w:t>
      </w:r>
    </w:p>
    <w:p>
      <w:pPr>
        <w:pStyle w:val="Heading1"/>
      </w:pPr>
      <w:r>
        <w:t>8. Frivillighet, samtycke och trygghet</w:t>
      </w:r>
    </w:p>
    <w:p>
      <w:r>
        <w:rPr>
          <w:rFonts w:ascii="Aptos" w:hAnsi="Aptos"/>
          <w:b w:val="0"/>
          <w:i w:val="0"/>
          <w:sz w:val="20"/>
        </w:rPr>
        <w:t>Vigselförrättarens viktigaste uppgift är att säkerställa att två människor frivilligt väljer att ingå äktenskap. Ett välplanerat arrangemang, gäster, kostnader eller sociala förväntningar får aldrig väga tyngre än individens rätt att säga nej.</w:t>
      </w:r>
    </w:p>
    <w:p>
      <w:pPr>
        <w:pStyle w:val="Heading2"/>
      </w:pPr>
      <w:r>
        <w:t>8.1 Tecken som kräver extra uppmärksamhet</w:t>
      </w:r>
    </w:p>
    <w:p>
      <w:pPr>
        <w:pStyle w:val="ListBullet"/>
        <w:spacing w:after="50"/>
      </w:pPr>
      <w:r>
        <w:rPr>
          <w:rFonts w:ascii="Aptos" w:hAnsi="Aptos"/>
          <w:sz w:val="20"/>
        </w:rPr>
        <w:t>En person verkar rädd eller söker tillåtelse från partner eller familj innan hen svarar.</w:t>
      </w:r>
    </w:p>
    <w:p>
      <w:pPr>
        <w:pStyle w:val="ListBullet"/>
        <w:spacing w:after="50"/>
      </w:pPr>
      <w:r>
        <w:rPr>
          <w:rFonts w:ascii="Aptos" w:hAnsi="Aptos"/>
          <w:sz w:val="20"/>
        </w:rPr>
        <w:t>Någon annan talar konsekvent för personen.</w:t>
      </w:r>
    </w:p>
    <w:p>
      <w:pPr>
        <w:pStyle w:val="ListBullet"/>
        <w:spacing w:after="50"/>
      </w:pPr>
      <w:r>
        <w:rPr>
          <w:rFonts w:ascii="Aptos" w:hAnsi="Aptos"/>
          <w:sz w:val="20"/>
        </w:rPr>
        <w:t>Personen säger att hen inte har något val.</w:t>
      </w:r>
    </w:p>
    <w:p>
      <w:pPr>
        <w:pStyle w:val="ListBullet"/>
        <w:spacing w:after="50"/>
      </w:pPr>
      <w:r>
        <w:rPr>
          <w:rFonts w:ascii="Aptos" w:hAnsi="Aptos"/>
          <w:sz w:val="20"/>
        </w:rPr>
        <w:t>Det finns hot, ekonomisk press, familjetryck eller stark konflikt.</w:t>
      </w:r>
    </w:p>
    <w:p>
      <w:pPr>
        <w:pStyle w:val="ListBullet"/>
        <w:spacing w:after="50"/>
      </w:pPr>
      <w:r>
        <w:rPr>
          <w:rFonts w:ascii="Aptos" w:hAnsi="Aptos"/>
          <w:sz w:val="20"/>
        </w:rPr>
        <w:t>Personen är kraftigt berusad, drog- eller läkemedelspåverkad, förvirrad eller oförmögen att förstå situationen.</w:t>
      </w:r>
    </w:p>
    <w:p>
      <w:pPr>
        <w:pStyle w:val="ListBullet"/>
        <w:spacing w:after="50"/>
      </w:pPr>
      <w:r>
        <w:rPr>
          <w:rFonts w:ascii="Aptos" w:hAnsi="Aptos"/>
          <w:sz w:val="20"/>
        </w:rPr>
        <w:t>Personen ger ett tveksamt, skämtsamt eller motsägelsefullt svar på den juridiska frågan.</w:t>
      </w:r>
    </w:p>
    <w:p>
      <w:pPr>
        <w:pStyle w:val="Heading2"/>
      </w:pPr>
      <w:r>
        <w:t>8.2 Enskilt samtal</w:t>
      </w:r>
    </w:p>
    <w:p>
      <w:r>
        <w:rPr>
          <w:rFonts w:ascii="Aptos" w:hAnsi="Aptos"/>
          <w:b w:val="0"/>
          <w:i w:val="0"/>
          <w:sz w:val="20"/>
        </w:rPr>
        <w:t>När det finns minsta tvekan ska vigselförrättaren kunna tala med personerna var för sig utan partner, familj eller andra närvarande. Ett sådant samtal kan vara kort och respektfullt.</w:t>
      </w:r>
    </w:p>
    <w:p>
      <w:pPr>
        <w:pStyle w:val="ListBullet"/>
        <w:spacing w:after="50"/>
      </w:pPr>
      <w:r>
        <w:rPr>
          <w:rFonts w:ascii="Aptos" w:hAnsi="Aptos"/>
          <w:sz w:val="20"/>
        </w:rPr>
        <w:t>Är det ditt eget beslut att gifta dig idag?</w:t>
      </w:r>
    </w:p>
    <w:p>
      <w:pPr>
        <w:pStyle w:val="ListBullet"/>
        <w:spacing w:after="50"/>
      </w:pPr>
      <w:r>
        <w:rPr>
          <w:rFonts w:ascii="Aptos" w:hAnsi="Aptos"/>
          <w:sz w:val="20"/>
        </w:rPr>
        <w:t>Känner du dig fri att säga nej eller att skjuta upp vigseln?</w:t>
      </w:r>
    </w:p>
    <w:p>
      <w:pPr>
        <w:pStyle w:val="ListBullet"/>
        <w:spacing w:after="50"/>
      </w:pPr>
      <w:r>
        <w:rPr>
          <w:rFonts w:ascii="Aptos" w:hAnsi="Aptos"/>
          <w:sz w:val="20"/>
        </w:rPr>
        <w:t>Förstår du att detta är en juridisk vigsel och att du ingår äktenskap?</w:t>
      </w:r>
    </w:p>
    <w:p>
      <w:pPr>
        <w:pStyle w:val="ListBullet"/>
        <w:spacing w:after="50"/>
      </w:pPr>
      <w:r>
        <w:rPr>
          <w:rFonts w:ascii="Aptos" w:hAnsi="Aptos"/>
          <w:sz w:val="20"/>
        </w:rPr>
        <w:t>Finns det något du vill säga till mig innan vi fortsätter?</w:t>
      </w:r>
    </w:p>
    <w:tbl>
      <w:tblPr>
        <w:tblW w:type="auto" w:w="0"/>
        <w:jc w:val="center"/>
        <w:tblLook w:firstColumn="1" w:firstRow="1" w:lastColumn="0" w:lastRow="0" w:noHBand="0" w:noVBand="1" w:val="04A0"/>
      </w:tblPr>
      <w:tblGrid>
        <w:gridCol w:w="9972"/>
      </w:tblGrid>
      <w:tr>
        <w:tc>
          <w:tcPr>
            <w:tcW w:type="dxa" w:w="9972"/>
            <w:shd w:fill="FBEDEB"/>
            <w:tcBorders>
              <w:top w:val="single" w:sz="5" w:color="A23B32"/>
              <w:bottom w:val="single" w:sz="5" w:color="A23B32"/>
              <w:left w:val="single" w:sz="12" w:color="A23B32"/>
              <w:right w:val="single" w:sz="5" w:color="A23B32"/>
            </w:tcBorders>
          </w:tcPr>
          <w:p>
            <w:r>
              <w:rPr>
                <w:rFonts w:ascii="Aptos" w:hAnsi="Aptos"/>
                <w:b/>
                <w:color w:val="A23B32"/>
                <w:sz w:val="21"/>
              </w:rPr>
              <w:t>Stoppregel</w:t>
            </w:r>
          </w:p>
          <w:p>
            <w:pPr>
              <w:spacing w:after="60"/>
            </w:pPr>
            <w:r>
              <w:rPr>
                <w:rFonts w:ascii="Aptos" w:hAnsi="Aptos"/>
                <w:sz w:val="19"/>
              </w:rPr>
              <w:t>Ett nej, ett återtaget samtycke eller en rimlig tvekan om frivillighet stoppar vigseln. Vigselförrättaren ska inte övertala, medla inför gästerna eller försöka 'rädda' ceremonin.</w:t>
            </w:r>
          </w:p>
        </w:tc>
      </w:tr>
    </w:tbl>
    <w:p>
      <w:pPr>
        <w:spacing w:after="0"/>
      </w:pPr>
    </w:p>
    <w:p>
      <w:pPr>
        <w:pStyle w:val="Heading2"/>
      </w:pPr>
      <w:r>
        <w:t>8.3 Berusning</w:t>
      </w:r>
    </w:p>
    <w:p>
      <w:r>
        <w:rPr>
          <w:rFonts w:ascii="Aptos" w:hAnsi="Aptos"/>
          <w:b w:val="0"/>
          <w:i w:val="0"/>
          <w:sz w:val="20"/>
        </w:rPr>
        <w:t>Det finns ingen intern promillegräns. Bedömningen gäller om personen förstår vad som sker och kan fatta och uttrycka ett frivilligt beslut. Vid tydlig berusning eller annan påverkan som gör detta osäkert genomförs inte vigseln. Paret bör i planeringen uppmanas att lägga den juridiska ceremonin före omfattande alkoholkonsumtion.</w:t>
      </w:r>
    </w:p>
    <w:p>
      <w:pPr>
        <w:pStyle w:val="Heading1"/>
      </w:pPr>
      <w:r>
        <w:t>9. Vittnen, språk, tolkning och tillgänglighet</w:t>
      </w:r>
    </w:p>
    <w:p>
      <w:pPr>
        <w:pStyle w:val="Heading2"/>
      </w:pPr>
      <w:r>
        <w:t>9.1 Vittnen</w:t>
      </w:r>
    </w:p>
    <w:p>
      <w:r>
        <w:rPr>
          <w:rFonts w:ascii="Aptos" w:hAnsi="Aptos"/>
          <w:b w:val="0"/>
          <w:i w:val="0"/>
          <w:sz w:val="20"/>
        </w:rPr>
        <w:t>Svensk rätt kräver att vigsel sker i närvaro av släktingar eller andra vittnen. ULC Sveriges ordning använder två myndiga, fysiskt närvarande vittnen vid juridisk vigsel.</w:t>
      </w:r>
    </w:p>
    <w:p>
      <w:r>
        <w:rPr>
          <w:rFonts w:ascii="Aptos" w:hAnsi="Aptos"/>
          <w:b w:val="0"/>
          <w:i w:val="0"/>
          <w:sz w:val="20"/>
        </w:rPr>
        <w:t>Vittnenas uppgift är att närvara vid förrättningen. De behöver inte godkänna äktenskapet och ska inte ges en roll som kan uppfattas som att deras tillåtelse krävs.</w:t>
      </w:r>
    </w:p>
    <w:p>
      <w:pPr>
        <w:pStyle w:val="Heading2"/>
      </w:pPr>
      <w:r>
        <w:t>9.2 Språk och tolkning</w:t>
      </w:r>
    </w:p>
    <w:p>
      <w:r>
        <w:rPr>
          <w:rFonts w:ascii="Aptos" w:hAnsi="Aptos"/>
          <w:b w:val="0"/>
          <w:i w:val="0"/>
          <w:sz w:val="20"/>
        </w:rPr>
        <w:t>Var och en måste förstå samtyckesfrågan och innebörden av att ingå äktenskap. Om svenska inte är tillräckligt ska tillförlitlig tolkning användas. Den svenska juridiska formuleringen ska finnas tillgänglig som kontrolltext.</w:t>
      </w:r>
    </w:p>
    <w:p>
      <w:r>
        <w:rPr>
          <w:rFonts w:ascii="Aptos" w:hAnsi="Aptos"/>
          <w:b w:val="0"/>
          <w:i w:val="0"/>
          <w:sz w:val="20"/>
        </w:rPr>
        <w:t>Tolken får inte förenkla frågan så att den blir en allmän fråga om kärlek eller framtid. Frågan ska fortfarande handla om att samtycka till att ingå äktenskap med den andra personen.</w:t>
      </w:r>
    </w:p>
    <w:p>
      <w:pPr>
        <w:pStyle w:val="Heading2"/>
      </w:pPr>
      <w:r>
        <w:t>9.3 Tillgänglighet och alternativ kommunikation</w:t>
      </w:r>
    </w:p>
    <w:p>
      <w:pPr>
        <w:pStyle w:val="ListBullet"/>
        <w:spacing w:after="50"/>
      </w:pPr>
      <w:r>
        <w:rPr>
          <w:rFonts w:ascii="Aptos" w:hAnsi="Aptos"/>
          <w:sz w:val="20"/>
        </w:rPr>
        <w:t>Planera fysisk tillgänglighet och placering.</w:t>
      </w:r>
    </w:p>
    <w:p>
      <w:pPr>
        <w:pStyle w:val="ListBullet"/>
        <w:spacing w:after="50"/>
      </w:pPr>
      <w:r>
        <w:rPr>
          <w:rFonts w:ascii="Aptos" w:hAnsi="Aptos"/>
          <w:sz w:val="20"/>
        </w:rPr>
        <w:t>Använd hörslinga, mikrofon eller teckenspråk vid behov.</w:t>
      </w:r>
    </w:p>
    <w:p>
      <w:pPr>
        <w:pStyle w:val="ListBullet"/>
        <w:spacing w:after="50"/>
      </w:pPr>
      <w:r>
        <w:rPr>
          <w:rFonts w:ascii="Aptos" w:hAnsi="Aptos"/>
          <w:sz w:val="20"/>
        </w:rPr>
        <w:t>Ge manus i förväg om det underlättar förståelse och trygghet.</w:t>
      </w:r>
    </w:p>
    <w:p>
      <w:pPr>
        <w:pStyle w:val="ListBullet"/>
        <w:spacing w:after="50"/>
      </w:pPr>
      <w:r>
        <w:rPr>
          <w:rFonts w:ascii="Aptos" w:hAnsi="Aptos"/>
          <w:sz w:val="20"/>
        </w:rPr>
        <w:t>Tillåt tydlig alternativ kommunikation när tal inte är möjligt.</w:t>
      </w:r>
    </w:p>
    <w:p>
      <w:pPr>
        <w:pStyle w:val="ListBullet"/>
        <w:spacing w:after="50"/>
      </w:pPr>
      <w:r>
        <w:rPr>
          <w:rFonts w:ascii="Aptos" w:hAnsi="Aptos"/>
          <w:sz w:val="20"/>
        </w:rPr>
        <w:t>Fokusera på individens faktiska förmåga att förstå och uttrycka ett val – inte på funktionsnedsättningen i sig.</w:t>
      </w:r>
    </w:p>
    <w:p>
      <w:pPr>
        <w:pStyle w:val="Heading1"/>
      </w:pPr>
      <w:r>
        <w:t>10. Att skapa en personlig ULC-ceremoni</w:t>
      </w:r>
    </w:p>
    <w:p>
      <w:r>
        <w:rPr>
          <w:rFonts w:ascii="Aptos" w:hAnsi="Aptos"/>
          <w:b w:val="0"/>
          <w:i w:val="0"/>
          <w:sz w:val="20"/>
        </w:rPr>
        <w:t>Den juridiska kärnan är kort. Resten av ceremonin är ett rum för parets historia, tro, humor, värderingar och relation. En skicklig ULC-vigselförrättare lyssnar mer än hen standardiserar.</w:t>
      </w:r>
    </w:p>
    <w:p>
      <w:pPr>
        <w:pStyle w:val="Heading2"/>
      </w:pPr>
      <w:r>
        <w:t>10.1 Rekommenderad dramaturgi</w:t>
      </w:r>
    </w:p>
    <w:p>
      <w:pPr>
        <w:pStyle w:val="ListNumber"/>
        <w:spacing w:after="50"/>
      </w:pPr>
      <w:r>
        <w:rPr>
          <w:rFonts w:ascii="Aptos" w:hAnsi="Aptos"/>
          <w:sz w:val="20"/>
        </w:rPr>
        <w:t>Samling och välkomnande.</w:t>
      </w:r>
    </w:p>
    <w:p>
      <w:pPr>
        <w:pStyle w:val="ListNumber"/>
        <w:spacing w:after="50"/>
      </w:pPr>
      <w:r>
        <w:rPr>
          <w:rFonts w:ascii="Aptos" w:hAnsi="Aptos"/>
          <w:sz w:val="20"/>
        </w:rPr>
        <w:t>Reflektion över paret, kärlek eller äktenskap.</w:t>
      </w:r>
    </w:p>
    <w:p>
      <w:pPr>
        <w:pStyle w:val="ListNumber"/>
        <w:spacing w:after="50"/>
      </w:pPr>
      <w:r>
        <w:rPr>
          <w:rFonts w:ascii="Aptos" w:hAnsi="Aptos"/>
          <w:sz w:val="20"/>
        </w:rPr>
        <w:t>Läsning, musik, bön eller familjemedverkan.</w:t>
      </w:r>
    </w:p>
    <w:p>
      <w:pPr>
        <w:pStyle w:val="ListNumber"/>
        <w:spacing w:after="50"/>
      </w:pPr>
      <w:r>
        <w:rPr>
          <w:rFonts w:ascii="Aptos" w:hAnsi="Aptos"/>
          <w:sz w:val="20"/>
        </w:rPr>
        <w:t>Eventuell ceremoniell fråga om fri vilja.</w:t>
      </w:r>
    </w:p>
    <w:p>
      <w:pPr>
        <w:pStyle w:val="ListNumber"/>
        <w:spacing w:after="50"/>
      </w:pPr>
      <w:r>
        <w:rPr>
          <w:rFonts w:ascii="Aptos" w:hAnsi="Aptos"/>
          <w:sz w:val="20"/>
        </w:rPr>
        <w:t>Obligatorisk Declaration of Intent – individuellt juridiskt samtycke.</w:t>
      </w:r>
    </w:p>
    <w:p>
      <w:pPr>
        <w:pStyle w:val="ListNumber"/>
        <w:spacing w:after="50"/>
      </w:pPr>
      <w:r>
        <w:rPr>
          <w:rFonts w:ascii="Aptos" w:hAnsi="Aptos"/>
          <w:sz w:val="20"/>
        </w:rPr>
        <w:t>Personliga löften.</w:t>
      </w:r>
    </w:p>
    <w:p>
      <w:pPr>
        <w:pStyle w:val="ListNumber"/>
        <w:spacing w:after="50"/>
      </w:pPr>
      <w:r>
        <w:rPr>
          <w:rFonts w:ascii="Aptos" w:hAnsi="Aptos"/>
          <w:sz w:val="20"/>
        </w:rPr>
        <w:t>Ringar eller annan symbolhandling.</w:t>
      </w:r>
    </w:p>
    <w:p>
      <w:pPr>
        <w:pStyle w:val="ListNumber"/>
        <w:spacing w:after="50"/>
      </w:pPr>
      <w:r>
        <w:rPr>
          <w:rFonts w:ascii="Aptos" w:hAnsi="Aptos"/>
          <w:sz w:val="20"/>
        </w:rPr>
        <w:t>Obligatoriskt Pronouncement – makaförklaring.</w:t>
      </w:r>
    </w:p>
    <w:p>
      <w:pPr>
        <w:pStyle w:val="ListNumber"/>
        <w:spacing w:after="50"/>
      </w:pPr>
      <w:r>
        <w:rPr>
          <w:rFonts w:ascii="Aptos" w:hAnsi="Aptos"/>
          <w:sz w:val="20"/>
        </w:rPr>
        <w:t>Kyss eller annan vald markering.</w:t>
      </w:r>
    </w:p>
    <w:p>
      <w:pPr>
        <w:pStyle w:val="ListNumber"/>
        <w:spacing w:after="50"/>
      </w:pPr>
      <w:r>
        <w:rPr>
          <w:rFonts w:ascii="Aptos" w:hAnsi="Aptos"/>
          <w:sz w:val="20"/>
        </w:rPr>
        <w:t>Avslutande välsignelse, önskan eller presentation.</w:t>
      </w:r>
    </w:p>
    <w:p>
      <w:pPr>
        <w:pStyle w:val="Heading2"/>
      </w:pPr>
      <w:r>
        <w:t>10.2 Frågor till paret</w:t>
      </w:r>
    </w:p>
    <w:p>
      <w:pPr>
        <w:pStyle w:val="ListBullet"/>
        <w:spacing w:after="50"/>
      </w:pPr>
      <w:r>
        <w:rPr>
          <w:rFonts w:ascii="Aptos" w:hAnsi="Aptos"/>
          <w:sz w:val="20"/>
        </w:rPr>
        <w:t>Hur träffades ni och vad minns ni från början?</w:t>
      </w:r>
    </w:p>
    <w:p>
      <w:pPr>
        <w:pStyle w:val="ListBullet"/>
        <w:spacing w:after="50"/>
      </w:pPr>
      <w:r>
        <w:rPr>
          <w:rFonts w:ascii="Aptos" w:hAnsi="Aptos"/>
          <w:sz w:val="20"/>
        </w:rPr>
        <w:t>Vad uppskattar ni mest hos varandra?</w:t>
      </w:r>
    </w:p>
    <w:p>
      <w:pPr>
        <w:pStyle w:val="ListBullet"/>
        <w:spacing w:after="50"/>
      </w:pPr>
      <w:r>
        <w:rPr>
          <w:rFonts w:ascii="Aptos" w:hAnsi="Aptos"/>
          <w:sz w:val="20"/>
        </w:rPr>
        <w:t>Vad har ni lärt er av varandra?</w:t>
      </w:r>
    </w:p>
    <w:p>
      <w:pPr>
        <w:pStyle w:val="ListBullet"/>
        <w:spacing w:after="50"/>
      </w:pPr>
      <w:r>
        <w:rPr>
          <w:rFonts w:ascii="Aptos" w:hAnsi="Aptos"/>
          <w:sz w:val="20"/>
        </w:rPr>
        <w:t>Vad får er att skratta?</w:t>
      </w:r>
    </w:p>
    <w:p>
      <w:pPr>
        <w:pStyle w:val="ListBullet"/>
        <w:spacing w:after="50"/>
      </w:pPr>
      <w:r>
        <w:rPr>
          <w:rFonts w:ascii="Aptos" w:hAnsi="Aptos"/>
          <w:sz w:val="20"/>
        </w:rPr>
        <w:t>Vilka människor eller minnen vill ni hedra?</w:t>
      </w:r>
    </w:p>
    <w:p>
      <w:pPr>
        <w:pStyle w:val="ListBullet"/>
        <w:spacing w:after="50"/>
      </w:pPr>
      <w:r>
        <w:rPr>
          <w:rFonts w:ascii="Aptos" w:hAnsi="Aptos"/>
          <w:sz w:val="20"/>
        </w:rPr>
        <w:t>Finns en text, tradition, låt, plats eller symbol som betyder mycket?</w:t>
      </w:r>
    </w:p>
    <w:p>
      <w:pPr>
        <w:pStyle w:val="ListBullet"/>
        <w:spacing w:after="50"/>
      </w:pPr>
      <w:r>
        <w:rPr>
          <w:rFonts w:ascii="Aptos" w:hAnsi="Aptos"/>
          <w:sz w:val="20"/>
        </w:rPr>
        <w:t>Vilka ord vill ni använda om ert äktenskap och om varandra?</w:t>
      </w:r>
    </w:p>
    <w:p>
      <w:pPr>
        <w:pStyle w:val="ListBullet"/>
        <w:spacing w:after="50"/>
      </w:pPr>
      <w:r>
        <w:rPr>
          <w:rFonts w:ascii="Aptos" w:hAnsi="Aptos"/>
          <w:sz w:val="20"/>
        </w:rPr>
        <w:t>Vill ni ha religiösa ord, öppet andliga ord eller ett helt sekulärt språk?</w:t>
      </w:r>
    </w:p>
    <w:p>
      <w:pPr>
        <w:pStyle w:val="Heading2"/>
      </w:pPr>
      <w:r>
        <w:t>10.3 Undvik onödiga antaganden</w:t>
      </w:r>
    </w:p>
    <w:p>
      <w:r>
        <w:rPr>
          <w:rFonts w:ascii="Aptos" w:hAnsi="Aptos"/>
          <w:b w:val="0"/>
          <w:i w:val="0"/>
          <w:sz w:val="20"/>
        </w:rPr>
        <w:t>ULC Sveriges standardmanus utgår inte från könsroller, barn, ekonomisk försörjning eller sexuell exklusivitet. Sådant kan naturligtvis ingå om paret själva vill uttrycka det. Vår uppgift är att skapa utrymme för parets egna löften, inte att lägga ord i deras relation.</w:t>
      </w:r>
    </w:p>
    <w:p>
      <w:pPr>
        <w:pStyle w:val="Heading1"/>
      </w:pPr>
      <w:r>
        <w:t>11. ULC Sverige – obligatorisk vigselritual</w:t>
      </w:r>
    </w:p>
    <w:p>
      <w:r>
        <w:rPr>
          <w:rFonts w:ascii="Aptos" w:hAnsi="Aptos"/>
          <w:b w:val="0"/>
          <w:i w:val="0"/>
          <w:sz w:val="20"/>
        </w:rPr>
        <w:t>Detta är den kortaste fullständiga ULC Sverige-ritualen. Den kan stå för sig själv eller vara kärnan i en längre ceremoni.</w:t>
      </w: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A. VÄLKOMNANDE – rekommenderat</w:t>
            </w:r>
          </w:p>
          <w:p>
            <w:pPr>
              <w:spacing w:after="60"/>
            </w:pPr>
            <w:r>
              <w:rPr>
                <w:rFonts w:ascii="Aptos" w:hAnsi="Aptos"/>
                <w:b/>
                <w:sz w:val="20"/>
              </w:rPr>
              <w:t xml:space="preserve">Vigselförrättaren: </w:t>
            </w:r>
            <w:r>
              <w:rPr>
                <w:rFonts w:ascii="Aptos" w:hAnsi="Aptos"/>
                <w:sz w:val="20"/>
              </w:rPr>
              <w:t>Vi är samlade för att bevittna och fira att [Namn] och [Namn] väljer att ingå äktenskap med varandra. Ett äktenskap bygger på ett personligt och frivilligt val, och därför ska var och en av er nu uttrycka detta val.</w:t>
            </w:r>
          </w:p>
        </w:tc>
      </w:tr>
    </w:tbl>
    <w:p>
      <w:pPr>
        <w:spacing w:after="0"/>
      </w:pP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B. DECLARATION OF INTENT / SAMTYCKE – obligatoriskt</w:t>
            </w:r>
          </w:p>
          <w:p>
            <w:pPr>
              <w:spacing w:after="60"/>
            </w:pPr>
            <w:r>
              <w:rPr>
                <w:rFonts w:ascii="Aptos" w:hAnsi="Aptos"/>
                <w:b/>
                <w:sz w:val="20"/>
              </w:rPr>
              <w:t xml:space="preserve">Vigselförrättaren till person A: </w:t>
            </w:r>
            <w:r>
              <w:rPr>
                <w:rFonts w:ascii="Aptos" w:hAnsi="Aptos"/>
                <w:sz w:val="20"/>
              </w:rPr>
              <w:t>[Namn], samtycker du till att ingå äktenskap med [Namn]?</w:t>
            </w:r>
          </w:p>
          <w:p>
            <w:pPr>
              <w:spacing w:after="60"/>
            </w:pPr>
            <w:r>
              <w:rPr>
                <w:rFonts w:ascii="Aptos" w:hAnsi="Aptos"/>
                <w:b/>
                <w:sz w:val="20"/>
              </w:rPr>
              <w:t xml:space="preserve">Person A: </w:t>
            </w:r>
            <w:r>
              <w:rPr>
                <w:rFonts w:ascii="Aptos" w:hAnsi="Aptos"/>
                <w:sz w:val="20"/>
              </w:rPr>
              <w:t>Ja.</w:t>
            </w:r>
          </w:p>
          <w:p>
            <w:pPr>
              <w:spacing w:after="60"/>
            </w:pPr>
            <w:r>
              <w:rPr>
                <w:rFonts w:ascii="Aptos" w:hAnsi="Aptos"/>
                <w:b/>
                <w:sz w:val="20"/>
              </w:rPr>
              <w:t xml:space="preserve">Vigselförrättaren till person B: </w:t>
            </w:r>
            <w:r>
              <w:rPr>
                <w:rFonts w:ascii="Aptos" w:hAnsi="Aptos"/>
                <w:sz w:val="20"/>
              </w:rPr>
              <w:t>[Namn], samtycker du till att ingå äktenskap med [Namn]?</w:t>
            </w:r>
          </w:p>
          <w:p>
            <w:pPr>
              <w:spacing w:after="60"/>
            </w:pPr>
            <w:r>
              <w:rPr>
                <w:rFonts w:ascii="Aptos" w:hAnsi="Aptos"/>
                <w:b/>
                <w:sz w:val="20"/>
              </w:rPr>
              <w:t xml:space="preserve">Person B: </w:t>
            </w:r>
            <w:r>
              <w:rPr>
                <w:rFonts w:ascii="Aptos" w:hAnsi="Aptos"/>
                <w:sz w:val="20"/>
              </w:rPr>
              <w:t>Ja.</w:t>
            </w:r>
          </w:p>
        </w:tc>
      </w:tr>
    </w:tbl>
    <w:p>
      <w:pPr>
        <w:spacing w:after="0"/>
      </w:pP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C. PRONOUNCEMENT / MAKAFÖRKLARING – obligatoriskt</w:t>
            </w:r>
          </w:p>
          <w:p>
            <w:pPr>
              <w:spacing w:after="60"/>
            </w:pPr>
            <w:r>
              <w:rPr>
                <w:rFonts w:ascii="Aptos" w:hAnsi="Aptos"/>
                <w:b/>
                <w:sz w:val="20"/>
              </w:rPr>
              <w:t xml:space="preserve">Vigselförrättaren: </w:t>
            </w:r>
            <w:r>
              <w:rPr>
                <w:rFonts w:ascii="Aptos" w:hAnsi="Aptos"/>
                <w:sz w:val="20"/>
              </w:rPr>
              <w:t>Ni har var för sig samtyckt till att ingå äktenskap med varandra. Med stöd av mitt förordnande som vigselförrättare inom Universal Life Church Sverige förklarar jag er härmed vara makar.</w:t>
            </w:r>
          </w:p>
        </w:tc>
      </w:tr>
    </w:tbl>
    <w:p>
      <w:pPr>
        <w:spacing w:after="0"/>
      </w:pP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D. AVSLUTNING – rekommenderad</w:t>
            </w:r>
          </w:p>
          <w:p>
            <w:pPr>
              <w:spacing w:after="60"/>
            </w:pPr>
            <w:r>
              <w:rPr>
                <w:rFonts w:ascii="Aptos" w:hAnsi="Aptos"/>
                <w:b/>
                <w:sz w:val="20"/>
              </w:rPr>
              <w:t xml:space="preserve">Vigselförrättaren: </w:t>
            </w:r>
            <w:r>
              <w:rPr>
                <w:rFonts w:ascii="Aptos" w:hAnsi="Aptos"/>
                <w:sz w:val="20"/>
              </w:rPr>
              <w:t>Må ni möta varandra med respekt, nyfikenhet och omsorg genom allt det liv ni nu fortsätter att bygga tillsammans. Ni får nu kyssa varandra – om ni vill.</w:t>
            </w:r>
          </w:p>
        </w:tc>
      </w:tr>
    </w:tbl>
    <w:p>
      <w:pPr>
        <w:spacing w:after="0"/>
      </w:pPr>
    </w:p>
    <w:tbl>
      <w:tblPr>
        <w:tblW w:type="auto" w:w="0"/>
        <w:jc w:val="center"/>
        <w:tblLook w:firstColumn="1" w:firstRow="1" w:lastColumn="0" w:lastRow="0" w:noHBand="0" w:noVBand="1" w:val="04A0"/>
      </w:tblPr>
      <w:tblGrid>
        <w:gridCol w:w="9972"/>
      </w:tblGrid>
      <w:tr>
        <w:tc>
          <w:tcPr>
            <w:tcW w:type="dxa" w:w="9972"/>
            <w:shd w:fill="FBEDEB"/>
            <w:tcBorders>
              <w:top w:val="single" w:sz="5" w:color="A23B32"/>
              <w:bottom w:val="single" w:sz="5" w:color="A23B32"/>
              <w:left w:val="single" w:sz="12" w:color="A23B32"/>
              <w:right w:val="single" w:sz="5" w:color="A23B32"/>
            </w:tcBorders>
          </w:tcPr>
          <w:p>
            <w:r>
              <w:rPr>
                <w:rFonts w:ascii="Aptos" w:hAnsi="Aptos"/>
                <w:b/>
                <w:color w:val="A23B32"/>
                <w:sz w:val="21"/>
              </w:rPr>
              <w:t>Otydligt svar</w:t>
            </w:r>
          </w:p>
          <w:p>
            <w:pPr>
              <w:spacing w:after="60"/>
            </w:pPr>
            <w:r>
              <w:rPr>
                <w:rFonts w:ascii="Aptos" w:hAnsi="Aptos"/>
                <w:sz w:val="19"/>
              </w:rPr>
              <w:t>Om någon svarar 'kanske', 'jag tror det', skämtar bort frågan, förblir tyst eller på annat sätt inte uttrycker ett tydligt samtycke stannar vigselförrättaren. Vid ett enkelt missförstånd kan frågan förklaras och ställas igen. Vid verklig tvekan avbryts vigseln.</w:t>
            </w:r>
          </w:p>
        </w:tc>
      </w:tr>
    </w:tbl>
    <w:p>
      <w:pPr>
        <w:spacing w:after="0"/>
      </w:pPr>
    </w:p>
    <w:p>
      <w:pPr>
        <w:pStyle w:val="Heading1"/>
      </w:pPr>
      <w:r>
        <w:t>12. Fullständig standardceremoni</w:t>
      </w:r>
    </w:p>
    <w:p>
      <w:pPr>
        <w:pStyle w:val="Heading2"/>
      </w:pPr>
      <w:r>
        <w:t>12.1 Samling och välkomnande</w:t>
      </w:r>
    </w:p>
    <w:p>
      <w:r>
        <w:rPr>
          <w:rFonts w:ascii="Aptos" w:hAnsi="Aptos"/>
          <w:b/>
          <w:i w:val="0"/>
          <w:sz w:val="20"/>
        </w:rPr>
        <w:t>Vigselförrättaren:</w:t>
      </w:r>
    </w:p>
    <w:p>
      <w:r>
        <w:rPr>
          <w:rFonts w:ascii="Aptos" w:hAnsi="Aptos"/>
          <w:b w:val="0"/>
          <w:i/>
          <w:sz w:val="20"/>
        </w:rPr>
        <w:t>Kära familj, vänner och alla ni som står [Namn] och [Namn] nära. Vi är samlade här för att bevittna och fira att två människor väljer varandra och väljer att förena sina liv i äktenskap.</w:t>
      </w:r>
    </w:p>
    <w:p>
      <w:r>
        <w:rPr>
          <w:rFonts w:ascii="Aptos" w:hAnsi="Aptos"/>
          <w:b w:val="0"/>
          <w:i/>
          <w:sz w:val="20"/>
        </w:rPr>
        <w:t>Universal Life Church bär en enkel grundtanke: varje människa ska få söka sin egen väg och leva efter sin tro och övertygelse med respekt för andra. Därför är vi här inte för att tala om hur kärlek måste se ut, utan för att hedra den kärlek och gemenskap som [Namn] och [Namn] själva har valt.</w:t>
      </w:r>
    </w:p>
    <w:p>
      <w:pPr>
        <w:pStyle w:val="Heading2"/>
      </w:pPr>
      <w:r>
        <w:t>12.2 Om äktenskapet</w:t>
      </w:r>
    </w:p>
    <w:p>
      <w:r>
        <w:rPr>
          <w:rFonts w:ascii="Aptos" w:hAnsi="Aptos"/>
          <w:b w:val="0"/>
          <w:i/>
          <w:sz w:val="20"/>
        </w:rPr>
        <w:t>Ett äktenskap är mer än denna stund. Det är ett beslut som fortsätter i vardagen – i orden som sägs, i händer som hålls, i skratt, i motgångar och i alla de små ögonblick som tillsammans blir ett liv.</w:t>
      </w:r>
    </w:p>
    <w:p>
      <w:r>
        <w:rPr>
          <w:rFonts w:ascii="Aptos" w:hAnsi="Aptos"/>
          <w:b w:val="0"/>
          <w:i/>
          <w:sz w:val="20"/>
        </w:rPr>
        <w:t>Att gifta sig är inte att sluta vara två människor. Det är att välja att gå vidare som två människor med ett gemensamt ansvar för relationen och med respekt för varandras frihet, värdighet och förändring.</w:t>
      </w:r>
    </w:p>
    <w:p>
      <w:pPr>
        <w:pStyle w:val="Heading2"/>
      </w:pPr>
      <w:r>
        <w:t>12.3 Frivillighetsfråga – valfri men rekommenderad</w:t>
      </w:r>
    </w:p>
    <w:p>
      <w:r>
        <w:rPr>
          <w:rFonts w:ascii="Aptos" w:hAnsi="Aptos"/>
          <w:b w:val="0"/>
          <w:i/>
          <w:sz w:val="20"/>
        </w:rPr>
        <w:t>[Namn] och [Namn], ni har kommit hit för att ingå äktenskap med varandra. Är detta ett beslut som ni båda har fattat av egen och fri vilja?</w:t>
      </w:r>
    </w:p>
    <w:p>
      <w:r>
        <w:rPr>
          <w:rFonts w:ascii="Aptos" w:hAnsi="Aptos"/>
          <w:b w:val="0"/>
          <w:i/>
          <w:sz w:val="20"/>
        </w:rPr>
        <w:t>Båda: Ja.</w:t>
      </w:r>
    </w:p>
    <w:p>
      <w:r>
        <w:rPr>
          <w:rFonts w:ascii="Aptos" w:hAnsi="Aptos"/>
          <w:b w:val="0"/>
          <w:i w:val="0"/>
          <w:sz w:val="20"/>
        </w:rPr>
        <w:t>Den gemensamma frågan är ceremoniell och ersätter aldrig de två individuella juridiska frågorna.</w:t>
      </w:r>
    </w:p>
    <w:p>
      <w:pPr>
        <w:pStyle w:val="Heading2"/>
      </w:pPr>
      <w:r>
        <w:t>12.4 Juridiskt samtycke – obligatoriskt</w:t>
      </w: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LÅST TEXT</w:t>
            </w:r>
          </w:p>
          <w:p>
            <w:pPr>
              <w:spacing w:after="60"/>
            </w:pPr>
            <w:r>
              <w:rPr>
                <w:rFonts w:ascii="Aptos" w:hAnsi="Aptos"/>
                <w:b/>
                <w:sz w:val="20"/>
              </w:rPr>
              <w:t xml:space="preserve">Vigselförrättaren till person A: </w:t>
            </w:r>
            <w:r>
              <w:rPr>
                <w:rFonts w:ascii="Aptos" w:hAnsi="Aptos"/>
                <w:sz w:val="20"/>
              </w:rPr>
              <w:t>[Namn], samtycker du till att ingå äktenskap med [Namn]?</w:t>
            </w:r>
          </w:p>
          <w:p>
            <w:pPr>
              <w:spacing w:after="60"/>
            </w:pPr>
            <w:r>
              <w:rPr>
                <w:rFonts w:ascii="Aptos" w:hAnsi="Aptos"/>
                <w:b/>
                <w:sz w:val="20"/>
              </w:rPr>
              <w:t xml:space="preserve">Person A: </w:t>
            </w:r>
            <w:r>
              <w:rPr>
                <w:rFonts w:ascii="Aptos" w:hAnsi="Aptos"/>
                <w:sz w:val="20"/>
              </w:rPr>
              <w:t>Ja.</w:t>
            </w:r>
          </w:p>
          <w:p>
            <w:pPr>
              <w:spacing w:after="60"/>
            </w:pPr>
            <w:r>
              <w:rPr>
                <w:rFonts w:ascii="Aptos" w:hAnsi="Aptos"/>
                <w:b/>
                <w:sz w:val="20"/>
              </w:rPr>
              <w:t xml:space="preserve">Vigselförrättaren till person B: </w:t>
            </w:r>
            <w:r>
              <w:rPr>
                <w:rFonts w:ascii="Aptos" w:hAnsi="Aptos"/>
                <w:sz w:val="20"/>
              </w:rPr>
              <w:t>[Namn], samtycker du till att ingå äktenskap med [Namn]?</w:t>
            </w:r>
          </w:p>
          <w:p>
            <w:pPr>
              <w:spacing w:after="60"/>
            </w:pPr>
            <w:r>
              <w:rPr>
                <w:rFonts w:ascii="Aptos" w:hAnsi="Aptos"/>
                <w:b/>
                <w:sz w:val="20"/>
              </w:rPr>
              <w:t xml:space="preserve">Person B: </w:t>
            </w:r>
            <w:r>
              <w:rPr>
                <w:rFonts w:ascii="Aptos" w:hAnsi="Aptos"/>
                <w:sz w:val="20"/>
              </w:rPr>
              <w:t>Ja.</w:t>
            </w:r>
          </w:p>
        </w:tc>
      </w:tr>
    </w:tbl>
    <w:p>
      <w:pPr>
        <w:spacing w:after="0"/>
      </w:pPr>
    </w:p>
    <w:p>
      <w:pPr>
        <w:pStyle w:val="Heading2"/>
      </w:pPr>
      <w:r>
        <w:t>12.5 Personliga löften – valfritt</w:t>
      </w:r>
    </w:p>
    <w:p>
      <w:r>
        <w:rPr>
          <w:rFonts w:ascii="Aptos" w:hAnsi="Aptos"/>
          <w:b w:val="0"/>
          <w:i/>
          <w:sz w:val="20"/>
        </w:rPr>
        <w:t>Ni har nu sagt det ja som gör ert val tydligt inför oss alla. Nu får ni med era egna ord berätta vad ni vill lova varandra.</w:t>
      </w:r>
    </w:p>
    <w:p>
      <w:r>
        <w:rPr>
          <w:rFonts w:ascii="Aptos" w:hAnsi="Aptos"/>
          <w:b/>
          <w:i w:val="0"/>
          <w:sz w:val="20"/>
        </w:rPr>
        <w:t>Om paret vill använda en enkel standardtext:</w:t>
      </w:r>
    </w:p>
    <w:p>
      <w:r>
        <w:rPr>
          <w:rFonts w:ascii="Aptos" w:hAnsi="Aptos"/>
          <w:b w:val="0"/>
          <w:i/>
          <w:sz w:val="20"/>
        </w:rPr>
        <w:t>Jag väljer dig. Jag lovar att möta dig med kärlek och respekt, att lyssna när du behöver bli hörd, att stå bredvid dig när livet är lätt och när det är svårt, och att fortsätta välja vårt liv tillsammans.</w:t>
      </w:r>
    </w:p>
    <w:p>
      <w:pPr>
        <w:pStyle w:val="Heading2"/>
      </w:pPr>
      <w:r>
        <w:t>12.6 Ringar – valfritt</w:t>
      </w:r>
    </w:p>
    <w:p>
      <w:r>
        <w:rPr>
          <w:rFonts w:ascii="Aptos" w:hAnsi="Aptos"/>
          <w:b w:val="0"/>
          <w:i/>
          <w:sz w:val="20"/>
        </w:rPr>
        <w:t>En ring är ett tecken som kan bäras genom vardagen. Den påminner inte om ägande, utan om ett val och ett löfte.</w:t>
      </w:r>
    </w:p>
    <w:p>
      <w:r>
        <w:rPr>
          <w:rFonts w:ascii="Aptos" w:hAnsi="Aptos"/>
          <w:b/>
          <w:i w:val="0"/>
          <w:sz w:val="20"/>
        </w:rPr>
        <w:t>Standardfras vid ringutbyte:</w:t>
      </w:r>
    </w:p>
    <w:p>
      <w:r>
        <w:rPr>
          <w:rFonts w:ascii="Aptos" w:hAnsi="Aptos"/>
          <w:b w:val="0"/>
          <w:i/>
          <w:sz w:val="20"/>
        </w:rPr>
        <w:t>Jag ger dig denna ring som ett tecken på mitt val, mitt löfte och min kärlek.</w:t>
      </w:r>
    </w:p>
    <w:p>
      <w:pPr>
        <w:pStyle w:val="Heading2"/>
      </w:pPr>
      <w:r>
        <w:t>12.7 Makaförklaring – obligatorisk</w:t>
      </w: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LÅST TEXT</w:t>
            </w:r>
          </w:p>
          <w:p>
            <w:pPr>
              <w:spacing w:after="60"/>
            </w:pPr>
            <w:r>
              <w:rPr>
                <w:rFonts w:ascii="Aptos" w:hAnsi="Aptos"/>
                <w:b/>
                <w:sz w:val="20"/>
              </w:rPr>
              <w:t xml:space="preserve">Vigselförrättaren: </w:t>
            </w:r>
            <w:r>
              <w:rPr>
                <w:rFonts w:ascii="Aptos" w:hAnsi="Aptos"/>
                <w:sz w:val="20"/>
              </w:rPr>
              <w:t>Ni har var för sig samtyckt till att ingå äktenskap med varandra. Med stöd av mitt förordnande som vigselförrättare inom Universal Life Church Sverige förklarar jag er härmed vara makar.</w:t>
            </w:r>
          </w:p>
        </w:tc>
      </w:tr>
    </w:tbl>
    <w:p>
      <w:pPr>
        <w:spacing w:after="0"/>
      </w:pPr>
    </w:p>
    <w:p>
      <w:pPr>
        <w:pStyle w:val="Heading2"/>
      </w:pPr>
      <w:r>
        <w:t>12.8 Avslutning</w:t>
      </w:r>
    </w:p>
    <w:p>
      <w:r>
        <w:rPr>
          <w:rFonts w:ascii="Aptos" w:hAnsi="Aptos"/>
          <w:b w:val="0"/>
          <w:i/>
          <w:sz w:val="20"/>
        </w:rPr>
        <w:t>Ett äktenskap börjar här, men byggs någon annanstans: i vardagen. Må ni få frihet att växa, mod att förändras, förmåga att lyssna och många skäl att skratta tillsammans. Och må ni, när livet förändras omkring er, fortsätta att finna det som är rätt för er och för varandra.</w:t>
      </w:r>
    </w:p>
    <w:p>
      <w:r>
        <w:rPr>
          <w:rFonts w:ascii="Aptos" w:hAnsi="Aptos"/>
          <w:b w:val="0"/>
          <w:i/>
          <w:sz w:val="20"/>
        </w:rPr>
        <w:t>Ni får nu kyssa varandra – om ni vill.</w:t>
      </w:r>
    </w:p>
    <w:p>
      <w:r>
        <w:rPr>
          <w:rFonts w:ascii="Aptos" w:hAnsi="Aptos"/>
          <w:b w:val="0"/>
          <w:i/>
          <w:sz w:val="20"/>
        </w:rPr>
        <w:t>Mina vänner, låt oss välkomna [Namn] och [Namn] som makar.</w:t>
      </w:r>
    </w:p>
    <w:p>
      <w:pPr>
        <w:pStyle w:val="Heading1"/>
      </w:pPr>
      <w:r>
        <w:t>13. Valfria ceremonimoduler</w:t>
      </w:r>
    </w:p>
    <w:p>
      <w:pPr>
        <w:pStyle w:val="Heading2"/>
      </w:pPr>
      <w:r>
        <w:t>13.1 Mycket kort vigsel – cirka 3–5 minuter</w:t>
      </w:r>
    </w:p>
    <w:p>
      <w:r>
        <w:rPr>
          <w:rFonts w:ascii="Aptos" w:hAnsi="Aptos"/>
          <w:b w:val="0"/>
          <w:i w:val="0"/>
          <w:sz w:val="20"/>
        </w:rPr>
        <w:t>Använd välkomnande, en kort reflektion, den individuella samtyckesdelen, eventuell ringväxling, makaförklaringen och avslutning. Denna form fungerar väl för små hemvigslar, spontant planerade vigslar eller när paret vill ha en kort juridisk ceremoni.</w:t>
      </w:r>
    </w:p>
    <w:p>
      <w:pPr>
        <w:pStyle w:val="Heading2"/>
      </w:pPr>
      <w:r>
        <w:t>13.2 Interfaith</w:t>
      </w:r>
    </w:p>
    <w:p>
      <w:r>
        <w:rPr>
          <w:rFonts w:ascii="Aptos" w:hAnsi="Aptos"/>
          <w:b w:val="0"/>
          <w:i w:val="0"/>
          <w:sz w:val="20"/>
        </w:rPr>
        <w:t>Låt båda traditionerna komma till uttryck utan att den ena behöver underordnas den andra. En läsning, bön eller symbol från respektive tradition kan placeras före den juridiska kärnan. Förklara i planeringen vilka moment som är juridiskt fasta och vilka som är religiöst/personligt fria.</w:t>
      </w:r>
    </w:p>
    <w:p>
      <w:pPr>
        <w:pStyle w:val="Heading2"/>
      </w:pPr>
      <w:r>
        <w:t>13.3 Sekulär eller humanistiskt präglad</w:t>
      </w:r>
    </w:p>
    <w:p>
      <w:r>
        <w:rPr>
          <w:rFonts w:ascii="Aptos" w:hAnsi="Aptos"/>
          <w:b w:val="0"/>
          <w:i w:val="0"/>
          <w:sz w:val="20"/>
        </w:rPr>
        <w:t>Bygg ceremonin kring parets berättelse, vänskap, omsorg, ansvar och framtid. Det är inte nödvändigt att använda ord som Gud, helig eller välsignelse. ULC:s religionsfrihet rymmer också människor som inte definierar sig religiöst.</w:t>
      </w:r>
    </w:p>
    <w:p>
      <w:pPr>
        <w:pStyle w:val="Heading2"/>
      </w:pPr>
      <w:r>
        <w:t>13.4 Minnesmoment</w:t>
      </w:r>
    </w:p>
    <w:p>
      <w:r>
        <w:rPr>
          <w:rFonts w:ascii="Aptos" w:hAnsi="Aptos"/>
          <w:b w:val="0"/>
          <w:i w:val="0"/>
          <w:sz w:val="20"/>
        </w:rPr>
        <w:t>Ett ljus, en kort tystnad eller ett namn kan hedra någon som saknas. Lägg gärna minnesmomentet före samtycket så att ceremonins avslutning kan röra sig mot parets framtid.</w:t>
      </w:r>
    </w:p>
    <w:p>
      <w:pPr>
        <w:pStyle w:val="Heading2"/>
      </w:pPr>
      <w:r>
        <w:t>13.5 Barn och familj</w:t>
      </w:r>
    </w:p>
    <w:p>
      <w:r>
        <w:rPr>
          <w:rFonts w:ascii="Aptos" w:hAnsi="Aptos"/>
          <w:b w:val="0"/>
          <w:i w:val="0"/>
          <w:sz w:val="20"/>
        </w:rPr>
        <w:t>Barn kan bära ringar, läsa en text eller delta i en familjevälsignelse. Barnet ska inte ges rollen att godkänna den vuxnes äktenskap och ska aldrig dras in i en äktenskapsliknande ceremoni.</w:t>
      </w:r>
    </w:p>
    <w:p>
      <w:pPr>
        <w:pStyle w:val="Heading2"/>
      </w:pPr>
      <w:r>
        <w:t>13.6 Handfasting, sand, ljus och andra symbolhandlingar</w:t>
      </w:r>
    </w:p>
    <w:p>
      <w:r>
        <w:rPr>
          <w:rFonts w:ascii="Aptos" w:hAnsi="Aptos"/>
          <w:b w:val="0"/>
          <w:i w:val="0"/>
          <w:sz w:val="20"/>
        </w:rPr>
        <w:t>Symbolhandlingar är välkomna när paret önskar dem. De ska förstås som ceremonins uttryck, inte som det juridiskt konstituerande momentet.</w:t>
      </w:r>
    </w:p>
    <w:p>
      <w:pPr>
        <w:pStyle w:val="Heading1"/>
      </w:pPr>
      <w:r>
        <w:t>14. Praktiskt genomförande på vigselplatsen</w:t>
      </w:r>
    </w:p>
    <w:p>
      <w:pPr>
        <w:pStyle w:val="Heading2"/>
      </w:pPr>
      <w:r>
        <w:t>14.1 Ankomst och förberedelse</w:t>
      </w:r>
    </w:p>
    <w:p>
      <w:r>
        <w:rPr>
          <w:rFonts w:ascii="Aptos" w:hAnsi="Aptos"/>
          <w:b w:val="0"/>
          <w:i w:val="0"/>
          <w:sz w:val="20"/>
        </w:rPr>
        <w:t>Vigselförrättaren bör vara på plats med god marginal. En normal rekommendation är minst 30 minuter före ceremonin och längre vid större arrangemang.</w:t>
      </w:r>
    </w:p>
    <w:p>
      <w:pPr>
        <w:pStyle w:val="Checklist"/>
      </w:pPr>
      <w:r>
        <w:rPr>
          <w:rFonts w:ascii="Aptos" w:hAnsi="Aptos"/>
          <w:b/>
          <w:color w:val="0A2B55"/>
        </w:rPr>
        <w:t xml:space="preserve">☐ </w:t>
      </w:r>
      <w:r>
        <w:rPr>
          <w:rFonts w:ascii="Aptos" w:hAnsi="Aptos"/>
          <w:sz w:val="20"/>
        </w:rPr>
        <w:t>Kontrollera plats, väderplan, ljud och mikrofon.</w:t>
      </w:r>
    </w:p>
    <w:p>
      <w:pPr>
        <w:pStyle w:val="Checklist"/>
      </w:pPr>
      <w:r>
        <w:rPr>
          <w:rFonts w:ascii="Aptos" w:hAnsi="Aptos"/>
          <w:b/>
          <w:color w:val="0A2B55"/>
        </w:rPr>
        <w:t xml:space="preserve">☐ </w:t>
      </w:r>
      <w:r>
        <w:rPr>
          <w:rFonts w:ascii="Aptos" w:hAnsi="Aptos"/>
          <w:sz w:val="20"/>
        </w:rPr>
        <w:t>Bekräfta var paret och vittnena ska stå.</w:t>
      </w:r>
    </w:p>
    <w:p>
      <w:pPr>
        <w:pStyle w:val="Checklist"/>
      </w:pPr>
      <w:r>
        <w:rPr>
          <w:rFonts w:ascii="Aptos" w:hAnsi="Aptos"/>
          <w:b/>
          <w:color w:val="0A2B55"/>
        </w:rPr>
        <w:t xml:space="preserve">☐ </w:t>
      </w:r>
      <w:r>
        <w:rPr>
          <w:rFonts w:ascii="Aptos" w:hAnsi="Aptos"/>
          <w:sz w:val="20"/>
        </w:rPr>
        <w:t>Gör slutlig identitetskontroll.</w:t>
      </w:r>
    </w:p>
    <w:p>
      <w:pPr>
        <w:pStyle w:val="Checklist"/>
      </w:pPr>
      <w:r>
        <w:rPr>
          <w:rFonts w:ascii="Aptos" w:hAnsi="Aptos"/>
          <w:b/>
          <w:color w:val="0A2B55"/>
        </w:rPr>
        <w:t xml:space="preserve">☐ </w:t>
      </w:r>
      <w:r>
        <w:rPr>
          <w:rFonts w:ascii="Aptos" w:hAnsi="Aptos"/>
          <w:sz w:val="20"/>
        </w:rPr>
        <w:t>Säkerställ att hindersprövning och vigselintyg finns.</w:t>
      </w:r>
    </w:p>
    <w:p>
      <w:pPr>
        <w:pStyle w:val="Checklist"/>
      </w:pPr>
      <w:r>
        <w:rPr>
          <w:rFonts w:ascii="Aptos" w:hAnsi="Aptos"/>
          <w:b/>
          <w:color w:val="0A2B55"/>
        </w:rPr>
        <w:t xml:space="preserve">☐ </w:t>
      </w:r>
      <w:r>
        <w:rPr>
          <w:rFonts w:ascii="Aptos" w:hAnsi="Aptos"/>
          <w:sz w:val="20"/>
        </w:rPr>
        <w:t>Bekräfta att paret vill gå vidare.</w:t>
      </w:r>
    </w:p>
    <w:p>
      <w:pPr>
        <w:pStyle w:val="Checklist"/>
      </w:pPr>
      <w:r>
        <w:rPr>
          <w:rFonts w:ascii="Aptos" w:hAnsi="Aptos"/>
          <w:b/>
          <w:color w:val="0A2B55"/>
        </w:rPr>
        <w:t xml:space="preserve">☐ </w:t>
      </w:r>
      <w:r>
        <w:rPr>
          <w:rFonts w:ascii="Aptos" w:hAnsi="Aptos"/>
          <w:sz w:val="20"/>
        </w:rPr>
        <w:t>Kontrollera att båda vittnena är närvarande.</w:t>
      </w:r>
    </w:p>
    <w:p>
      <w:pPr>
        <w:pStyle w:val="Checklist"/>
      </w:pPr>
      <w:r>
        <w:rPr>
          <w:rFonts w:ascii="Aptos" w:hAnsi="Aptos"/>
          <w:b/>
          <w:color w:val="0A2B55"/>
        </w:rPr>
        <w:t xml:space="preserve">☐ </w:t>
      </w:r>
      <w:r>
        <w:rPr>
          <w:rFonts w:ascii="Aptos" w:hAnsi="Aptos"/>
          <w:sz w:val="20"/>
        </w:rPr>
        <w:t>Ha det juridiska reservmanuset tillgängligt även om hela ceremonin finns digitalt.</w:t>
      </w:r>
    </w:p>
    <w:p>
      <w:pPr>
        <w:pStyle w:val="Heading2"/>
      </w:pPr>
      <w:r>
        <w:t>14.2 Under den juridiska delen</w:t>
      </w:r>
    </w:p>
    <w:p>
      <w:r>
        <w:rPr>
          <w:rFonts w:ascii="Aptos" w:hAnsi="Aptos"/>
          <w:b w:val="0"/>
          <w:i w:val="0"/>
          <w:sz w:val="20"/>
        </w:rPr>
        <w:t>Vänd dig tydligt till en person i taget. Titta på personen. Ställ frågan långsamt och låt svaret komma utan att fylla i eller hjälpa till. Upprepa sedan samma ordning med den andra personen.</w:t>
      </w:r>
    </w:p>
    <w:p>
      <w:r>
        <w:rPr>
          <w:rFonts w:ascii="Aptos" w:hAnsi="Aptos"/>
          <w:b w:val="0"/>
          <w:i w:val="0"/>
          <w:sz w:val="20"/>
        </w:rPr>
        <w:t>Makaförklaringen kommer först när båda svaren är tydliga. Den ska uttalas högt och begripligt inför paret och vittnena.</w:t>
      </w:r>
    </w:p>
    <w:p>
      <w:pPr>
        <w:pStyle w:val="Heading2"/>
      </w:pPr>
      <w:r>
        <w:t>14.3 Om vigselförrättaren tappar manus</w:t>
      </w:r>
    </w:p>
    <w:p>
      <w:r>
        <w:rPr>
          <w:rFonts w:ascii="Aptos" w:hAnsi="Aptos"/>
          <w:b w:val="0"/>
          <w:i w:val="0"/>
          <w:sz w:val="20"/>
        </w:rPr>
        <w:t>Stanna lugnt. Det är bättre att säga 'Jag vill säkerställa att vi gör den juridiska delen helt tydligt' och ta fram reservmanuset än att improvisera bort ett avgörande moment.</w:t>
      </w:r>
    </w:p>
    <w:p>
      <w:r>
        <w:rPr>
          <w:rFonts w:ascii="Aptos" w:hAnsi="Aptos"/>
          <w:b w:val="0"/>
          <w:i w:val="0"/>
          <w:sz w:val="20"/>
        </w:rPr>
        <w:t>Ett tekniskt fel, ett tappat papper eller en felaktig ordningsföljd är inte pinsamt. Att försöka dölja ett fel genom att skynda vidare kan däremot skapa en juridisk risk.</w:t>
      </w:r>
    </w:p>
    <w:p>
      <w:pPr>
        <w:pStyle w:val="Heading2"/>
      </w:pPr>
      <w:r>
        <w:t>14.4 Fotografering och film</w:t>
      </w:r>
    </w:p>
    <w:p>
      <w:r>
        <w:rPr>
          <w:rFonts w:ascii="Aptos" w:hAnsi="Aptos"/>
          <w:b w:val="0"/>
          <w:i w:val="0"/>
          <w:sz w:val="20"/>
        </w:rPr>
        <w:t>Fotograf och videograf bör före ceremonin få veta när den juridiska kärnan sker så att de inte avbryter, flyttar paret eller skapar ljudproblem just då. ULC Sverige kräver ingen ljud- eller videoinspelning av samtycket.</w:t>
      </w:r>
    </w:p>
    <w:p>
      <w:pPr>
        <w:pStyle w:val="Heading1"/>
      </w:pPr>
      <w:r>
        <w:t>15. Efter vigseln – vigselbevis, registrering och Skatteverket</w:t>
      </w:r>
    </w:p>
    <w:p>
      <w:r>
        <w:rPr>
          <w:rFonts w:ascii="Aptos" w:hAnsi="Aptos"/>
          <w:b w:val="0"/>
          <w:i w:val="0"/>
          <w:sz w:val="20"/>
        </w:rPr>
        <w:t>Efter makaförklaringen följer en kort men viktig administrativ del. ULC Sveriges process är byggd för att detta ska ske så nära ceremonin som möjligt.</w:t>
      </w:r>
    </w:p>
    <w:p>
      <w:pPr>
        <w:pStyle w:val="Heading2"/>
      </w:pPr>
      <w:r>
        <w:t>15.1 Vigselbevis</w:t>
      </w:r>
    </w:p>
    <w:p>
      <w:r>
        <w:rPr>
          <w:rFonts w:ascii="Aptos" w:hAnsi="Aptos"/>
          <w:b w:val="0"/>
          <w:i w:val="0"/>
          <w:sz w:val="20"/>
        </w:rPr>
        <w:t>Vigselförrättaren ska genast lämna makarna ett bevis om vigseln. ULC Sveriges vigselbevis kan utfärdas i fysisk eller av ULC Sverige godkänd digital form och ska tydligt ange vilka som vigts, datum, plats och vigselförrättare.</w:t>
      </w:r>
    </w:p>
    <w:p>
      <w:r>
        <w:rPr>
          <w:rFonts w:ascii="Aptos" w:hAnsi="Aptos"/>
          <w:b w:val="0"/>
          <w:i w:val="0"/>
          <w:sz w:val="20"/>
        </w:rPr>
        <w:t>Vigselbeviset är parets omedelbara bevis från vigselförrättaren. Skatteverkets registrering av civilstånd sker efter den underrättelse som lämnas från vigselförrättaren.</w:t>
      </w:r>
    </w:p>
    <w:p>
      <w:pPr>
        <w:pStyle w:val="Heading2"/>
      </w:pPr>
      <w:r>
        <w:t>15.2 Registrering i ULC Sveriges system</w:t>
      </w:r>
    </w:p>
    <w:tbl>
      <w:tblPr>
        <w:tblW w:type="auto" w:w="0"/>
        <w:jc w:val="center"/>
        <w:tblLook w:firstColumn="1" w:firstRow="1" w:lastColumn="0" w:lastRow="0" w:noHBand="0" w:noVBand="1" w:val="04A0"/>
      </w:tblPr>
      <w:tblGrid>
        <w:gridCol w:w="9972"/>
      </w:tblGrid>
      <w:tr>
        <w:tc>
          <w:tcPr>
            <w:tcW w:type="dxa" w:w="9972"/>
            <w:shd w:fill="EAF1F8"/>
            <w:tcBorders>
              <w:top w:val="single" w:sz="5" w:color="0A2B55"/>
              <w:bottom w:val="single" w:sz="5" w:color="0A2B55"/>
              <w:left w:val="single" w:sz="12" w:color="0A2B55"/>
              <w:right w:val="single" w:sz="5" w:color="0A2B55"/>
            </w:tcBorders>
          </w:tcPr>
          <w:p>
            <w:r>
              <w:rPr>
                <w:rFonts w:ascii="Aptos" w:hAnsi="Aptos"/>
                <w:b/>
                <w:color w:val="0A2B55"/>
                <w:sz w:val="21"/>
              </w:rPr>
              <w:t>Registrering sker efter vigseln</w:t>
            </w:r>
          </w:p>
          <w:p>
            <w:pPr>
              <w:spacing w:after="60"/>
            </w:pPr>
            <w:r>
              <w:rPr>
                <w:rFonts w:ascii="Aptos" w:hAnsi="Aptos"/>
                <w:sz w:val="19"/>
              </w:rPr>
              <w:t>Vigselförrättaren registrerar den genomförda vigseln i ULC Sveriges system och laddar upp samtliga handlingar som hör till förrättningen. Vigseln behöver inte ha varit registrerad i systemet före ceremonin.</w:t>
            </w:r>
          </w:p>
        </w:tc>
      </w:tr>
    </w:tbl>
    <w:p>
      <w:pPr>
        <w:spacing w:after="0"/>
      </w:pPr>
    </w:p>
    <w:p>
      <w:r>
        <w:rPr>
          <w:rFonts w:ascii="Aptos" w:hAnsi="Aptos"/>
          <w:b w:val="0"/>
          <w:i w:val="0"/>
          <w:sz w:val="20"/>
        </w:rPr>
        <w:t>Registreringen ska göras omedelbart efter vigseln eller så snart de praktiska omständigheterna på platsen medger det. Vigselförrättaren ansvarar för att uppgifterna är korrekta och att rätt handlingar hör till rätt vigsel.</w:t>
      </w:r>
    </w:p>
    <w:p>
      <w:pPr>
        <w:pStyle w:val="Checklist"/>
      </w:pPr>
      <w:r>
        <w:rPr>
          <w:rFonts w:ascii="Aptos" w:hAnsi="Aptos"/>
          <w:b/>
          <w:color w:val="0A2B55"/>
        </w:rPr>
        <w:t xml:space="preserve">☐ </w:t>
      </w:r>
      <w:r>
        <w:rPr>
          <w:rFonts w:ascii="Aptos" w:hAnsi="Aptos"/>
          <w:sz w:val="20"/>
        </w:rPr>
        <w:t>Registrera makarnas identitetsuppgifter enligt den fastställda processen.</w:t>
      </w:r>
    </w:p>
    <w:p>
      <w:pPr>
        <w:pStyle w:val="Checklist"/>
      </w:pPr>
      <w:r>
        <w:rPr>
          <w:rFonts w:ascii="Aptos" w:hAnsi="Aptos"/>
          <w:b/>
          <w:color w:val="0A2B55"/>
        </w:rPr>
        <w:t xml:space="preserve">☐ </w:t>
      </w:r>
      <w:r>
        <w:rPr>
          <w:rFonts w:ascii="Aptos" w:hAnsi="Aptos"/>
          <w:sz w:val="20"/>
        </w:rPr>
        <w:t>Registrera datum och plats för vigseln.</w:t>
      </w:r>
    </w:p>
    <w:p>
      <w:pPr>
        <w:pStyle w:val="Checklist"/>
      </w:pPr>
      <w:r>
        <w:rPr>
          <w:rFonts w:ascii="Aptos" w:hAnsi="Aptos"/>
          <w:b/>
          <w:color w:val="0A2B55"/>
        </w:rPr>
        <w:t xml:space="preserve">☐ </w:t>
      </w:r>
      <w:r>
        <w:rPr>
          <w:rFonts w:ascii="Aptos" w:hAnsi="Aptos"/>
          <w:sz w:val="20"/>
        </w:rPr>
        <w:t>Ladda upp hindersprövning, vigselintyg och övriga handlingar som krävs.</w:t>
      </w:r>
    </w:p>
    <w:p>
      <w:pPr>
        <w:pStyle w:val="Checklist"/>
      </w:pPr>
      <w:r>
        <w:rPr>
          <w:rFonts w:ascii="Aptos" w:hAnsi="Aptos"/>
          <w:b/>
          <w:color w:val="0A2B55"/>
        </w:rPr>
        <w:t xml:space="preserve">☐ </w:t>
      </w:r>
      <w:r>
        <w:rPr>
          <w:rFonts w:ascii="Aptos" w:hAnsi="Aptos"/>
          <w:sz w:val="20"/>
        </w:rPr>
        <w:t>Bekräfta att båda individuella samtyckena gavs och att makaförklaringen uttalades.</w:t>
      </w:r>
    </w:p>
    <w:p>
      <w:pPr>
        <w:pStyle w:val="Checklist"/>
      </w:pPr>
      <w:r>
        <w:rPr>
          <w:rFonts w:ascii="Aptos" w:hAnsi="Aptos"/>
          <w:b/>
          <w:color w:val="0A2B55"/>
        </w:rPr>
        <w:t xml:space="preserve">☐ </w:t>
      </w:r>
      <w:r>
        <w:rPr>
          <w:rFonts w:ascii="Aptos" w:hAnsi="Aptos"/>
          <w:sz w:val="20"/>
        </w:rPr>
        <w:t>Bekräfta att vigselbevis har lämnats.</w:t>
      </w:r>
    </w:p>
    <w:p>
      <w:pPr>
        <w:pStyle w:val="Checklist"/>
      </w:pPr>
      <w:r>
        <w:rPr>
          <w:rFonts w:ascii="Aptos" w:hAnsi="Aptos"/>
          <w:b/>
          <w:color w:val="0A2B55"/>
        </w:rPr>
        <w:t xml:space="preserve">☐ </w:t>
      </w:r>
      <w:r>
        <w:rPr>
          <w:rFonts w:ascii="Aptos" w:hAnsi="Aptos"/>
          <w:sz w:val="20"/>
        </w:rPr>
        <w:t>Slutför registreringen.</w:t>
      </w:r>
    </w:p>
    <w:p>
      <w:pPr>
        <w:pStyle w:val="Heading2"/>
      </w:pPr>
      <w:r>
        <w:t>15.3 Automatisk underrättelse till Skatteverket</w:t>
      </w:r>
    </w:p>
    <w:p>
      <w:r>
        <w:rPr>
          <w:rFonts w:ascii="Aptos" w:hAnsi="Aptos"/>
          <w:b w:val="0"/>
          <w:i w:val="0"/>
          <w:sz w:val="20"/>
        </w:rPr>
        <w:t>När vigselförrättaren slutför registreringen av vigseln i ULC Sveriges system skickas underrättelsen om vigseln automatiskt till Skatteverket genom ULC Sveriges fastställda process. Vigselförrättaren behöver därför inte göra en separat ordinarie anmälan när registreringen har genomförts korrekt.</w:t>
      </w:r>
    </w:p>
    <w:p>
      <w:r>
        <w:rPr>
          <w:rFonts w:ascii="Aptos" w:hAnsi="Aptos"/>
          <w:b w:val="0"/>
          <w:i w:val="0"/>
          <w:sz w:val="20"/>
        </w:rPr>
        <w:t>Vigselförrättaren ska kontrollera att registreringen har slutförts och att sändningen inte har markerats som misslyckad eller kräver åtgärd. Om den automatiska processen inte kan användas ska ULC Sveriges reservrutin följas så att den lagstadgade underrättelsen inte fördröjs.</w:t>
      </w:r>
    </w:p>
    <w:tbl>
      <w:tblPr>
        <w:tblW w:type="auto" w:w="0"/>
        <w:jc w:val="center"/>
        <w:tblLook w:firstColumn="1" w:firstRow="1" w:lastColumn="0" w:lastRow="0" w:noHBand="0" w:noVBand="1" w:val="04A0"/>
      </w:tblPr>
      <w:tblGrid>
        <w:gridCol w:w="9972"/>
      </w:tblGrid>
      <w:t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1"/>
              </w:rPr>
              <w:t>Viktigt</w:t>
            </w:r>
          </w:p>
          <w:p>
            <w:pPr>
              <w:spacing w:after="60"/>
            </w:pPr>
            <w:r>
              <w:rPr>
                <w:rFonts w:ascii="Aptos" w:hAnsi="Aptos"/>
                <w:sz w:val="19"/>
              </w:rPr>
              <w:t>Registreringen är inte en planeringsförutsättning för själva vigseln. Den är den administrativa avslutningen efter en genomförd vigsel och utlöser ULC Sveriges automatiska underrättelse till Skatteverket.</w:t>
            </w:r>
          </w:p>
        </w:tc>
      </w:tr>
    </w:tbl>
    <w:p>
      <w:pPr>
        <w:spacing w:after="0"/>
      </w:pPr>
    </w:p>
    <w:p>
      <w:pPr>
        <w:pStyle w:val="Heading2"/>
      </w:pPr>
      <w:r>
        <w:t>15.4 Handlingarnas fullständighet</w:t>
      </w:r>
    </w:p>
    <w:p>
      <w:r>
        <w:rPr>
          <w:rFonts w:ascii="Aptos" w:hAnsi="Aptos"/>
          <w:b w:val="0"/>
          <w:i w:val="0"/>
          <w:sz w:val="20"/>
        </w:rPr>
        <w:t>Registrera aldrig en vigsel på chans med avsikt att 'fylla på senare' om det gäller sådant som ska ha kontrollerats före ceremonin. Hindersprövning och identitet ska redan vara kontrollerade. Efterregistreringen dokumenterar vad som har genomförts och samlar handlingarna.</w:t>
      </w:r>
    </w:p>
    <w:p>
      <w:pPr>
        <w:pStyle w:val="Heading1"/>
      </w:pPr>
      <w:r>
        <w:t>16. Dokumentation och dataskydd</w:t>
      </w:r>
    </w:p>
    <w:p>
      <w:r>
        <w:rPr>
          <w:rFonts w:ascii="Aptos" w:hAnsi="Aptos"/>
          <w:b w:val="0"/>
          <w:i w:val="0"/>
          <w:sz w:val="20"/>
        </w:rPr>
        <w:t>Vigselärenden innehåller personuppgifter och ska hanteras med respekt för makarnas integritet. ULC Sverige tillämpar principen att bara uppgifter som behövs för vigseln, dokumentationen, myndighetskontakten och den interna kvaliteten ska behandlas.</w:t>
      </w:r>
    </w:p>
    <w:p>
      <w:pPr>
        <w:pStyle w:val="Heading2"/>
      </w:pPr>
      <w:r>
        <w:t>16.1 Praktiska dataskyddsprinciper</w:t>
      </w:r>
    </w:p>
    <w:p>
      <w:pPr>
        <w:pStyle w:val="Checklist"/>
      </w:pPr>
      <w:r>
        <w:rPr>
          <w:rFonts w:ascii="Aptos" w:hAnsi="Aptos"/>
          <w:b/>
          <w:color w:val="0A2B55"/>
        </w:rPr>
        <w:t xml:space="preserve">☐ </w:t>
      </w:r>
      <w:r>
        <w:rPr>
          <w:rFonts w:ascii="Aptos" w:hAnsi="Aptos"/>
          <w:sz w:val="20"/>
        </w:rPr>
        <w:t>Använd ULC Sveriges godkända kanaler för vigselhandlingar och registrering.</w:t>
      </w:r>
    </w:p>
    <w:p>
      <w:pPr>
        <w:pStyle w:val="Checklist"/>
      </w:pPr>
      <w:r>
        <w:rPr>
          <w:rFonts w:ascii="Aptos" w:hAnsi="Aptos"/>
          <w:b/>
          <w:color w:val="0A2B55"/>
        </w:rPr>
        <w:t xml:space="preserve">☐ </w:t>
      </w:r>
      <w:r>
        <w:rPr>
          <w:rFonts w:ascii="Aptos" w:hAnsi="Aptos"/>
          <w:sz w:val="20"/>
        </w:rPr>
        <w:t>Skicka inte personnummer, hindersprövningar eller identitetshandlingar i privata chattar om det inte uttryckligen ingår i godkänd säker kanal.</w:t>
      </w:r>
    </w:p>
    <w:p>
      <w:pPr>
        <w:pStyle w:val="Checklist"/>
      </w:pPr>
      <w:r>
        <w:rPr>
          <w:rFonts w:ascii="Aptos" w:hAnsi="Aptos"/>
          <w:b/>
          <w:color w:val="0A2B55"/>
        </w:rPr>
        <w:t xml:space="preserve">☐ </w:t>
      </w:r>
      <w:r>
        <w:rPr>
          <w:rFonts w:ascii="Aptos" w:hAnsi="Aptos"/>
          <w:sz w:val="20"/>
        </w:rPr>
        <w:t>Lagra normalt inte kopior av legitimation; dokumentera att kontrollen har gjorts.</w:t>
      </w:r>
    </w:p>
    <w:p>
      <w:pPr>
        <w:pStyle w:val="Checklist"/>
      </w:pPr>
      <w:r>
        <w:rPr>
          <w:rFonts w:ascii="Aptos" w:hAnsi="Aptos"/>
          <w:b/>
          <w:color w:val="0A2B55"/>
        </w:rPr>
        <w:t xml:space="preserve">☐ </w:t>
      </w:r>
      <w:r>
        <w:rPr>
          <w:rFonts w:ascii="Aptos" w:hAnsi="Aptos"/>
          <w:sz w:val="20"/>
        </w:rPr>
        <w:t>Undvik onödiga uppgifter om religion, hälsa, relationer och familj i administrativa anteckningar.</w:t>
      </w:r>
    </w:p>
    <w:p>
      <w:pPr>
        <w:pStyle w:val="Checklist"/>
      </w:pPr>
      <w:r>
        <w:rPr>
          <w:rFonts w:ascii="Aptos" w:hAnsi="Aptos"/>
          <w:b/>
          <w:color w:val="0A2B55"/>
        </w:rPr>
        <w:t xml:space="preserve">☐ </w:t>
      </w:r>
      <w:r>
        <w:rPr>
          <w:rFonts w:ascii="Aptos" w:hAnsi="Aptos"/>
          <w:sz w:val="20"/>
        </w:rPr>
        <w:t>Håll personliga ceremonianteckningar och juridisk dokumentation åtskilda när det är praktiskt.</w:t>
      </w:r>
    </w:p>
    <w:p>
      <w:pPr>
        <w:pStyle w:val="Checklist"/>
      </w:pPr>
      <w:r>
        <w:rPr>
          <w:rFonts w:ascii="Aptos" w:hAnsi="Aptos"/>
          <w:b/>
          <w:color w:val="0A2B55"/>
        </w:rPr>
        <w:t xml:space="preserve">☐ </w:t>
      </w:r>
      <w:r>
        <w:rPr>
          <w:rFonts w:ascii="Aptos" w:hAnsi="Aptos"/>
          <w:sz w:val="20"/>
        </w:rPr>
        <w:t>Skyddade personuppgifter hanteras enligt ULC Sveriges särskilda rutin.</w:t>
      </w:r>
    </w:p>
    <w:p>
      <w:pPr>
        <w:pStyle w:val="Heading2"/>
      </w:pPr>
      <w:r>
        <w:t>16.2 Ceremonimaterial</w:t>
      </w:r>
    </w:p>
    <w:p>
      <w:r>
        <w:rPr>
          <w:rFonts w:ascii="Aptos" w:hAnsi="Aptos"/>
          <w:b w:val="0"/>
          <w:i w:val="0"/>
          <w:sz w:val="20"/>
        </w:rPr>
        <w:t>Personliga berättelser, löften och privata uppgifter som paret delar för att skapa ceremonin ska behandlas varsamt. Om de inte behöver sparas efter vigseln bör de inte ligga kvar i personliga mappar, e-post eller utskrifter längre än vad som behövs.</w:t>
      </w:r>
    </w:p>
    <w:p>
      <w:pPr>
        <w:pStyle w:val="Heading1"/>
      </w:pPr>
      <w:r>
        <w:t>17. Avvikelser och särskilda situationer</w:t>
      </w:r>
    </w:p>
    <w:p>
      <w:pPr>
        <w:pStyle w:val="Heading2"/>
      </w:pPr>
      <w:r>
        <w:t>17.1 Omedelbara stopporsaker</w:t>
      </w:r>
    </w:p>
    <w:p>
      <w:pPr>
        <w:pStyle w:val="Checklist"/>
      </w:pPr>
      <w:r>
        <w:rPr>
          <w:rFonts w:ascii="Aptos" w:hAnsi="Aptos"/>
          <w:b/>
          <w:color w:val="0A2B55"/>
        </w:rPr>
        <w:t xml:space="preserve">☐ </w:t>
      </w:r>
      <w:r>
        <w:rPr>
          <w:rFonts w:ascii="Aptos" w:hAnsi="Aptos"/>
          <w:sz w:val="20"/>
        </w:rPr>
        <w:t>Hindersprövning saknas eller är inte giltig på vigseldagen.</w:t>
      </w:r>
    </w:p>
    <w:p>
      <w:pPr>
        <w:pStyle w:val="Checklist"/>
      </w:pPr>
      <w:r>
        <w:rPr>
          <w:rFonts w:ascii="Aptos" w:hAnsi="Aptos"/>
          <w:b/>
          <w:color w:val="0A2B55"/>
        </w:rPr>
        <w:t xml:space="preserve">☐ </w:t>
      </w:r>
      <w:r>
        <w:rPr>
          <w:rFonts w:ascii="Aptos" w:hAnsi="Aptos"/>
          <w:sz w:val="20"/>
        </w:rPr>
        <w:t>Identiteten kan inte fastställas.</w:t>
      </w:r>
    </w:p>
    <w:p>
      <w:pPr>
        <w:pStyle w:val="Checklist"/>
      </w:pPr>
      <w:r>
        <w:rPr>
          <w:rFonts w:ascii="Aptos" w:hAnsi="Aptos"/>
          <w:b/>
          <w:color w:val="0A2B55"/>
        </w:rPr>
        <w:t xml:space="preserve">☐ </w:t>
      </w:r>
      <w:r>
        <w:rPr>
          <w:rFonts w:ascii="Aptos" w:hAnsi="Aptos"/>
          <w:sz w:val="20"/>
        </w:rPr>
        <w:t>Någon av parterna är inte närvarande samtidigt med den andra.</w:t>
      </w:r>
    </w:p>
    <w:p>
      <w:pPr>
        <w:pStyle w:val="Checklist"/>
      </w:pPr>
      <w:r>
        <w:rPr>
          <w:rFonts w:ascii="Aptos" w:hAnsi="Aptos"/>
          <w:b/>
          <w:color w:val="0A2B55"/>
        </w:rPr>
        <w:t xml:space="preserve">☐ </w:t>
      </w:r>
      <w:r>
        <w:rPr>
          <w:rFonts w:ascii="Aptos" w:hAnsi="Aptos"/>
          <w:sz w:val="20"/>
        </w:rPr>
        <w:t>En person säger nej, återtar sitt samtycke eller ger ett otydligt svar.</w:t>
      </w:r>
    </w:p>
    <w:p>
      <w:pPr>
        <w:pStyle w:val="Checklist"/>
      </w:pPr>
      <w:r>
        <w:rPr>
          <w:rFonts w:ascii="Aptos" w:hAnsi="Aptos"/>
          <w:b/>
          <w:color w:val="0A2B55"/>
        </w:rPr>
        <w:t xml:space="preserve">☐ </w:t>
      </w:r>
      <w:r>
        <w:rPr>
          <w:rFonts w:ascii="Aptos" w:hAnsi="Aptos"/>
          <w:sz w:val="20"/>
        </w:rPr>
        <w:t>Det finns rimlig misstanke om tvång eller otillbörlig påverkan.</w:t>
      </w:r>
    </w:p>
    <w:p>
      <w:pPr>
        <w:pStyle w:val="Checklist"/>
      </w:pPr>
      <w:r>
        <w:rPr>
          <w:rFonts w:ascii="Aptos" w:hAnsi="Aptos"/>
          <w:b/>
          <w:color w:val="0A2B55"/>
        </w:rPr>
        <w:t xml:space="preserve">☐ </w:t>
      </w:r>
      <w:r>
        <w:rPr>
          <w:rFonts w:ascii="Aptos" w:hAnsi="Aptos"/>
          <w:sz w:val="20"/>
        </w:rPr>
        <w:t>En person är så påverkad eller förvirrad att ett informerat samtycke inte kan bedömas.</w:t>
      </w:r>
    </w:p>
    <w:p>
      <w:pPr>
        <w:pStyle w:val="Checklist"/>
      </w:pPr>
      <w:r>
        <w:rPr>
          <w:rFonts w:ascii="Aptos" w:hAnsi="Aptos"/>
          <w:b/>
          <w:color w:val="0A2B55"/>
        </w:rPr>
        <w:t xml:space="preserve">☐ </w:t>
      </w:r>
      <w:r>
        <w:rPr>
          <w:rFonts w:ascii="Aptos" w:hAnsi="Aptos"/>
          <w:sz w:val="20"/>
        </w:rPr>
        <w:t>Vigselförrättaren saknar aktuell behörighet.</w:t>
      </w:r>
    </w:p>
    <w:p>
      <w:pPr>
        <w:pStyle w:val="Checklist"/>
      </w:pPr>
      <w:r>
        <w:rPr>
          <w:rFonts w:ascii="Aptos" w:hAnsi="Aptos"/>
          <w:b/>
          <w:color w:val="0A2B55"/>
        </w:rPr>
        <w:t xml:space="preserve">☐ </w:t>
      </w:r>
      <w:r>
        <w:rPr>
          <w:rFonts w:ascii="Aptos" w:hAnsi="Aptos"/>
          <w:sz w:val="20"/>
        </w:rPr>
        <w:t>Vittneskravet enligt ULC Sveriges ordning kan inte uppfyllas.</w:t>
      </w:r>
    </w:p>
    <w:p>
      <w:pPr>
        <w:pStyle w:val="Heading2"/>
      </w:pPr>
      <w:r>
        <w:t>17.2 Om ett fel upptäcks efteråt</w:t>
      </w:r>
    </w:p>
    <w:p>
      <w:r>
        <w:rPr>
          <w:rFonts w:ascii="Aptos" w:hAnsi="Aptos"/>
          <w:b w:val="0"/>
          <w:i w:val="0"/>
          <w:sz w:val="20"/>
        </w:rPr>
        <w:t>Vigselförrättaren kontaktar omedelbart ULC Sveriges vigselansvarige och dokumenterar vad som faktiskt inträffade. Ingen anteckning eller handling får ändras för att få processen att se korrekt ut i efterhand. Rättelser ska vara öppna och spårbara.</w:t>
      </w:r>
    </w:p>
    <w:p>
      <w:r>
        <w:rPr>
          <w:rFonts w:ascii="Aptos" w:hAnsi="Aptos"/>
          <w:b w:val="0"/>
          <w:i w:val="0"/>
          <w:sz w:val="20"/>
        </w:rPr>
        <w:t>Om felet kan påverka vigselns giltighet eller underrättelsen till Skatteverket hanteras ärendet skyndsamt enligt ULC Sveriges avvikelserutin och, när det behövs, i kontakt med berörd myndighet.</w:t>
      </w:r>
    </w:p>
    <w:p>
      <w:pPr>
        <w:pStyle w:val="Heading2"/>
      </w:pPr>
      <w:r>
        <w:t>17.3 Symbolisk ceremoni</w:t>
      </w:r>
    </w:p>
    <w:p>
      <w:r>
        <w:rPr>
          <w:rFonts w:ascii="Aptos" w:hAnsi="Aptos"/>
          <w:b w:val="0"/>
          <w:i w:val="0"/>
          <w:sz w:val="20"/>
        </w:rPr>
        <w:t>ULC Sverige kan förrätta symboliska ceremonier för vuxna. De ska tydligt hållas isär från juridiska vigslar. Ingen symbolisk ceremoni ska registreras som juridisk vigsel och inget vigselintyg ska sändas till Skatteverket för den.</w:t>
      </w:r>
    </w:p>
    <w:p>
      <w:r>
        <w:rPr>
          <w:rFonts w:ascii="Aptos" w:hAnsi="Aptos"/>
          <w:b w:val="0"/>
          <w:i w:val="0"/>
          <w:sz w:val="20"/>
        </w:rPr>
        <w:t>ULC Sverige genomför inte äktenskapsliknande ceremonier där någon är under 18 år eller där någon inte samtycker till förbindelsen.</w:t>
      </w:r>
    </w:p>
    <w:p>
      <w:pPr>
        <w:pStyle w:val="Heading2"/>
      </w:pPr>
      <w:r>
        <w:t>17.4 Juridisk vigsel nu, större ceremoni senare</w:t>
      </w:r>
    </w:p>
    <w:p>
      <w:r>
        <w:rPr>
          <w:rFonts w:ascii="Aptos" w:hAnsi="Aptos"/>
          <w:b w:val="0"/>
          <w:i w:val="0"/>
          <w:sz w:val="20"/>
        </w:rPr>
        <w:t>Ett par kan gifta sig juridiskt vid ett mindre tillfälle och senare ha en större ceremoni. Den senare ceremonin är då en bekräftelse eller välsignelse och ska inte registreras som en ny vigsel.</w:t>
      </w:r>
    </w:p>
    <w:p>
      <w:pPr>
        <w:pStyle w:val="Heading2"/>
      </w:pPr>
      <w:r>
        <w:t>17.5 Överraskningar</w:t>
      </w:r>
    </w:p>
    <w:p>
      <w:r>
        <w:rPr>
          <w:rFonts w:ascii="Aptos" w:hAnsi="Aptos"/>
          <w:b w:val="0"/>
          <w:i w:val="0"/>
          <w:sz w:val="20"/>
        </w:rPr>
        <w:t>Platsen, gästerna eller musiken kan vara en överraskning. Själva äktenskapet får inte vara det. Vigselförrättaren ska ha säkerställt direkt med båda personerna att de avser att ingå juridiskt äktenskap.</w:t>
      </w:r>
    </w:p>
    <w:p>
      <w:pPr>
        <w:pStyle w:val="Heading1"/>
      </w:pPr>
      <w:r>
        <w:t>18. Vigsel i annan jurisdiktion</w:t>
      </w:r>
    </w:p>
    <w:p>
      <w:r>
        <w:rPr>
          <w:rFonts w:ascii="Aptos" w:hAnsi="Aptos"/>
          <w:b w:val="0"/>
          <w:i w:val="0"/>
          <w:sz w:val="20"/>
        </w:rPr>
        <w:t>En svensk utsedd predikant, präst eller kyrkoherde inom ULC kan i vissa andra jurisdiktioner ha rätt eller kunna få rätt att förrätta vigsel enligt den lokala lagstiftningen. Den svenska vigselbehörigheten ska aldrig antas gälla automatiskt utanför Sverige.</w:t>
      </w:r>
    </w:p>
    <w:p>
      <w:r>
        <w:rPr>
          <w:rFonts w:ascii="Aptos" w:hAnsi="Aptos"/>
          <w:b w:val="0"/>
          <w:i w:val="0"/>
          <w:sz w:val="20"/>
        </w:rPr>
        <w:t>När en ULC-förrättare får en förfrågan om juridisk vigsel utomlands ska den lokala jurisdiktionens regler kontrolleras innan något löfte om juridisk giltighet lämnas.</w:t>
      </w:r>
    </w:p>
    <w:p>
      <w:pPr>
        <w:pStyle w:val="Heading2"/>
      </w:pPr>
      <w:r>
        <w:t>18.1 Kontakt med ULC internationellt</w:t>
      </w:r>
    </w:p>
    <w:p>
      <w:r>
        <w:rPr>
          <w:rFonts w:ascii="Aptos" w:hAnsi="Aptos"/>
          <w:b w:val="0"/>
          <w:i w:val="0"/>
          <w:sz w:val="20"/>
        </w:rPr>
        <w:t>Vid vigsel i annan jurisdiktion ska dialog föras med ULC internationellt. Den internationella kyrkan kan stödja i frågor om lokala krav och om vilka kyrkliga handlingar som kan behövas, exempelvis ordinationsbevis, ministerial credentials, Letter of Good Standing, kyrkliga intyg eller andra dokument som den lokala myndigheten begär.</w:t>
      </w:r>
    </w:p>
    <w:p>
      <w:r>
        <w:rPr>
          <w:rFonts w:ascii="Aptos" w:hAnsi="Aptos"/>
          <w:b w:val="0"/>
          <w:i w:val="0"/>
          <w:sz w:val="20"/>
        </w:rPr>
        <w:t>I vissa jurisdiktioner kan ytterligare registrering, bemyndigande, notarisation, apostille eller annan formell handling krävas. ULC internationellt och den lokala vigsel- eller registreringsmyndigheten ska därför användas som stöd för att klarlägga kraven innan ceremonin.</w:t>
      </w:r>
    </w:p>
    <w:tbl>
      <w:tblPr>
        <w:tblW w:type="auto" w:w="0"/>
        <w:jc w:val="center"/>
        <w:tblLook w:firstColumn="1" w:firstRow="1" w:lastColumn="0" w:lastRow="0" w:noHBand="0" w:noVBand="1" w:val="04A0"/>
      </w:tblPr>
      <w:tblGrid>
        <w:gridCol w:w="9972"/>
      </w:tblGrid>
      <w:t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1"/>
              </w:rPr>
              <w:t>Princip vid utlandsvigsel</w:t>
            </w:r>
          </w:p>
          <w:p>
            <w:pPr>
              <w:spacing w:after="60"/>
            </w:pPr>
            <w:r>
              <w:rPr>
                <w:rFonts w:ascii="Aptos" w:hAnsi="Aptos"/>
                <w:sz w:val="19"/>
              </w:rPr>
              <w:t>Lokal lag avgör juridisk behörighet. ULC Sverige och ULC internationellt hjälper till med kyrklig status och dokumentation; den lokala myndigheten avgör vilka handlingar och bemyndiganden som krävs.</w:t>
            </w:r>
          </w:p>
        </w:tc>
      </w:tr>
    </w:tbl>
    <w:p>
      <w:pPr>
        <w:spacing w:after="0"/>
      </w:pPr>
    </w:p>
    <w:p>
      <w:pPr>
        <w:pStyle w:val="Heading1"/>
      </w:pPr>
      <w:r>
        <w:t>19. Fortbildning och kvalitet</w:t>
      </w:r>
    </w:p>
    <w:p>
      <w:r>
        <w:rPr>
          <w:rFonts w:ascii="Aptos" w:hAnsi="Aptos"/>
          <w:b w:val="0"/>
          <w:i w:val="0"/>
          <w:sz w:val="20"/>
        </w:rPr>
        <w:t>Vigselförrättare ska hålla sina kunskaper levande. Juridik, myndighetsrutiner och praktiska förutsättningar förändras, och ULC Sverige arbetar därför med återkommande fortbildning och erfarenhetsutbyte.</w:t>
      </w:r>
    </w:p>
    <w:p>
      <w:pPr>
        <w:pStyle w:val="ListBullet"/>
        <w:spacing w:after="50"/>
      </w:pPr>
      <w:r>
        <w:rPr>
          <w:rFonts w:ascii="Aptos" w:hAnsi="Aptos"/>
          <w:sz w:val="20"/>
        </w:rPr>
        <w:t>Genomgång av förändringar i äktenskapsbalken och myndighetsrutiner.</w:t>
      </w:r>
    </w:p>
    <w:p>
      <w:pPr>
        <w:pStyle w:val="ListBullet"/>
        <w:spacing w:after="50"/>
      </w:pPr>
      <w:r>
        <w:rPr>
          <w:rFonts w:ascii="Aptos" w:hAnsi="Aptos"/>
          <w:sz w:val="20"/>
        </w:rPr>
        <w:t>Återkommande övning av juridisk kärna och avvikelsescenarier.</w:t>
      </w:r>
    </w:p>
    <w:p>
      <w:pPr>
        <w:pStyle w:val="ListBullet"/>
        <w:spacing w:after="50"/>
      </w:pPr>
      <w:r>
        <w:rPr>
          <w:rFonts w:ascii="Aptos" w:hAnsi="Aptos"/>
          <w:sz w:val="20"/>
        </w:rPr>
        <w:t>Erfarenhetsutbyte om ceremonier, tillgänglighet, interfaith och svåra situationer.</w:t>
      </w:r>
    </w:p>
    <w:p>
      <w:pPr>
        <w:pStyle w:val="ListBullet"/>
        <w:spacing w:after="50"/>
      </w:pPr>
      <w:r>
        <w:rPr>
          <w:rFonts w:ascii="Aptos" w:hAnsi="Aptos"/>
          <w:sz w:val="20"/>
        </w:rPr>
        <w:t>Genomgång av inträffade avvikelser utan skuldkultur, med fokus på lärande.</w:t>
      </w:r>
    </w:p>
    <w:p>
      <w:pPr>
        <w:pStyle w:val="ListBullet"/>
        <w:spacing w:after="50"/>
      </w:pPr>
      <w:r>
        <w:rPr>
          <w:rFonts w:ascii="Aptos" w:hAnsi="Aptos"/>
          <w:sz w:val="20"/>
        </w:rPr>
        <w:t>Regelbunden bekräftelse av att vigselförrättaren behärskar den aktuella vigselordningen.</w:t>
      </w:r>
    </w:p>
    <w:p>
      <w:pPr>
        <w:pStyle w:val="Heading1"/>
      </w:pPr>
      <w:r>
        <w:t>Bilaga A – Snabbchecklista</w:t>
      </w:r>
    </w:p>
    <w:p>
      <w:pPr>
        <w:pStyle w:val="Heading2"/>
      </w:pPr>
      <w:r>
        <w:t>A1. Före vigseln</w:t>
      </w:r>
    </w:p>
    <w:p>
      <w:pPr>
        <w:pStyle w:val="Checklist"/>
      </w:pPr>
      <w:r>
        <w:rPr>
          <w:rFonts w:ascii="Aptos" w:hAnsi="Aptos"/>
          <w:b/>
          <w:color w:val="0A2B55"/>
        </w:rPr>
        <w:t xml:space="preserve">☐ </w:t>
      </w:r>
      <w:r>
        <w:rPr>
          <w:rFonts w:ascii="Aptos" w:hAnsi="Aptos"/>
          <w:sz w:val="20"/>
        </w:rPr>
        <w:t>Jag är behörig att förrätta vigseln.</w:t>
      </w:r>
    </w:p>
    <w:p>
      <w:pPr>
        <w:pStyle w:val="Checklist"/>
      </w:pPr>
      <w:r>
        <w:rPr>
          <w:rFonts w:ascii="Aptos" w:hAnsi="Aptos"/>
          <w:b/>
          <w:color w:val="0A2B55"/>
        </w:rPr>
        <w:t xml:space="preserve">☐ </w:t>
      </w:r>
      <w:r>
        <w:rPr>
          <w:rFonts w:ascii="Aptos" w:hAnsi="Aptos"/>
          <w:sz w:val="20"/>
        </w:rPr>
        <w:t>Båda personernas identitet är kontrollerad eller kommer att slutkontrolleras på plats.</w:t>
      </w:r>
    </w:p>
    <w:p>
      <w:pPr>
        <w:pStyle w:val="Checklist"/>
      </w:pPr>
      <w:r>
        <w:rPr>
          <w:rFonts w:ascii="Aptos" w:hAnsi="Aptos"/>
          <w:b/>
          <w:color w:val="0A2B55"/>
        </w:rPr>
        <w:t xml:space="preserve">☐ </w:t>
      </w:r>
      <w:r>
        <w:rPr>
          <w:rFonts w:ascii="Aptos" w:hAnsi="Aptos"/>
          <w:sz w:val="20"/>
        </w:rPr>
        <w:t>Hindersprövningen är giltig på vigseldagen.</w:t>
      </w:r>
    </w:p>
    <w:p>
      <w:pPr>
        <w:pStyle w:val="Checklist"/>
      </w:pPr>
      <w:r>
        <w:rPr>
          <w:rFonts w:ascii="Aptos" w:hAnsi="Aptos"/>
          <w:b/>
          <w:color w:val="0A2B55"/>
        </w:rPr>
        <w:t xml:space="preserve">☐ </w:t>
      </w:r>
      <w:r>
        <w:rPr>
          <w:rFonts w:ascii="Aptos" w:hAnsi="Aptos"/>
          <w:sz w:val="20"/>
        </w:rPr>
        <w:t>Vigselintyget och nödvändiga handlingar finns.</w:t>
      </w:r>
    </w:p>
    <w:p>
      <w:pPr>
        <w:pStyle w:val="Checklist"/>
      </w:pPr>
      <w:r>
        <w:rPr>
          <w:rFonts w:ascii="Aptos" w:hAnsi="Aptos"/>
          <w:b/>
          <w:color w:val="0A2B55"/>
        </w:rPr>
        <w:t xml:space="preserve">☐ </w:t>
      </w:r>
      <w:r>
        <w:rPr>
          <w:rFonts w:ascii="Aptos" w:hAnsi="Aptos"/>
          <w:sz w:val="20"/>
        </w:rPr>
        <w:t>Båda personerna avser frivilligt att ingå äktenskap.</w:t>
      </w:r>
    </w:p>
    <w:p>
      <w:pPr>
        <w:pStyle w:val="Checklist"/>
      </w:pPr>
      <w:r>
        <w:rPr>
          <w:rFonts w:ascii="Aptos" w:hAnsi="Aptos"/>
          <w:b/>
          <w:color w:val="0A2B55"/>
        </w:rPr>
        <w:t xml:space="preserve">☐ </w:t>
      </w:r>
      <w:r>
        <w:rPr>
          <w:rFonts w:ascii="Aptos" w:hAnsi="Aptos"/>
          <w:sz w:val="20"/>
        </w:rPr>
        <w:t>Två myndiga vittnen kommer att närvara.</w:t>
      </w:r>
    </w:p>
    <w:p>
      <w:pPr>
        <w:pStyle w:val="Checklist"/>
      </w:pPr>
      <w:r>
        <w:rPr>
          <w:rFonts w:ascii="Aptos" w:hAnsi="Aptos"/>
          <w:b/>
          <w:color w:val="0A2B55"/>
        </w:rPr>
        <w:t xml:space="preserve">☐ </w:t>
      </w:r>
      <w:r>
        <w:rPr>
          <w:rFonts w:ascii="Aptos" w:hAnsi="Aptos"/>
          <w:sz w:val="20"/>
        </w:rPr>
        <w:t>Språk, tolkning och tillgänglighet är lösta.</w:t>
      </w:r>
    </w:p>
    <w:p>
      <w:pPr>
        <w:pStyle w:val="Checklist"/>
      </w:pPr>
      <w:r>
        <w:rPr>
          <w:rFonts w:ascii="Aptos" w:hAnsi="Aptos"/>
          <w:b/>
          <w:color w:val="0A2B55"/>
        </w:rPr>
        <w:t xml:space="preserve">☐ </w:t>
      </w:r>
      <w:r>
        <w:rPr>
          <w:rFonts w:ascii="Aptos" w:hAnsi="Aptos"/>
          <w:sz w:val="20"/>
        </w:rPr>
        <w:t>Manuset innehåller de två individuella samtyckesfrågorna och makaförklaringen.</w:t>
      </w:r>
    </w:p>
    <w:p>
      <w:pPr>
        <w:pStyle w:val="Heading2"/>
      </w:pPr>
      <w:r>
        <w:t>A2. På plats</w:t>
      </w:r>
    </w:p>
    <w:p>
      <w:pPr>
        <w:pStyle w:val="Checklist"/>
      </w:pPr>
      <w:r>
        <w:rPr>
          <w:rFonts w:ascii="Aptos" w:hAnsi="Aptos"/>
          <w:b/>
          <w:color w:val="0A2B55"/>
        </w:rPr>
        <w:t xml:space="preserve">☐ </w:t>
      </w:r>
      <w:r>
        <w:rPr>
          <w:rFonts w:ascii="Aptos" w:hAnsi="Aptos"/>
          <w:sz w:val="20"/>
        </w:rPr>
        <w:t>Båda personerna är närvarande samtidigt.</w:t>
      </w:r>
    </w:p>
    <w:p>
      <w:pPr>
        <w:pStyle w:val="Checklist"/>
      </w:pPr>
      <w:r>
        <w:rPr>
          <w:rFonts w:ascii="Aptos" w:hAnsi="Aptos"/>
          <w:b/>
          <w:color w:val="0A2B55"/>
        </w:rPr>
        <w:t xml:space="preserve">☐ </w:t>
      </w:r>
      <w:r>
        <w:rPr>
          <w:rFonts w:ascii="Aptos" w:hAnsi="Aptos"/>
          <w:sz w:val="20"/>
        </w:rPr>
        <w:t>Slutlig identitetskontroll är klar.</w:t>
      </w:r>
    </w:p>
    <w:p>
      <w:pPr>
        <w:pStyle w:val="Checklist"/>
      </w:pPr>
      <w:r>
        <w:rPr>
          <w:rFonts w:ascii="Aptos" w:hAnsi="Aptos"/>
          <w:b/>
          <w:color w:val="0A2B55"/>
        </w:rPr>
        <w:t xml:space="preserve">☐ </w:t>
      </w:r>
      <w:r>
        <w:rPr>
          <w:rFonts w:ascii="Aptos" w:hAnsi="Aptos"/>
          <w:sz w:val="20"/>
        </w:rPr>
        <w:t>Båda verkar förstå vad som sker och agerar frivilligt.</w:t>
      </w:r>
    </w:p>
    <w:p>
      <w:pPr>
        <w:pStyle w:val="Checklist"/>
      </w:pPr>
      <w:r>
        <w:rPr>
          <w:rFonts w:ascii="Aptos" w:hAnsi="Aptos"/>
          <w:b/>
          <w:color w:val="0A2B55"/>
        </w:rPr>
        <w:t xml:space="preserve">☐ </w:t>
      </w:r>
      <w:r>
        <w:rPr>
          <w:rFonts w:ascii="Aptos" w:hAnsi="Aptos"/>
          <w:sz w:val="20"/>
        </w:rPr>
        <w:t>Vittnena är närvarande.</w:t>
      </w:r>
    </w:p>
    <w:p>
      <w:pPr>
        <w:pStyle w:val="Checklist"/>
      </w:pPr>
      <w:r>
        <w:rPr>
          <w:rFonts w:ascii="Aptos" w:hAnsi="Aptos"/>
          <w:b/>
          <w:color w:val="0A2B55"/>
        </w:rPr>
        <w:t xml:space="preserve">☐ </w:t>
      </w:r>
      <w:r>
        <w:rPr>
          <w:rFonts w:ascii="Aptos" w:hAnsi="Aptos"/>
          <w:sz w:val="20"/>
        </w:rPr>
        <w:t>Jag har juridiskt reservmanus.</w:t>
      </w:r>
    </w:p>
    <w:p>
      <w:pPr>
        <w:pStyle w:val="Heading2"/>
      </w:pPr>
      <w:r>
        <w:t>A3. Under ceremonin</w:t>
      </w:r>
    </w:p>
    <w:p>
      <w:pPr>
        <w:pStyle w:val="Checklist"/>
      </w:pPr>
      <w:r>
        <w:rPr>
          <w:rFonts w:ascii="Aptos" w:hAnsi="Aptos"/>
          <w:b/>
          <w:color w:val="0A2B55"/>
        </w:rPr>
        <w:t xml:space="preserve">☐ </w:t>
      </w:r>
      <w:r>
        <w:rPr>
          <w:rFonts w:ascii="Aptos" w:hAnsi="Aptos"/>
          <w:sz w:val="20"/>
        </w:rPr>
        <w:t>Person A har fått egen fråga och tydligt samtyckt.</w:t>
      </w:r>
    </w:p>
    <w:p>
      <w:pPr>
        <w:pStyle w:val="Checklist"/>
      </w:pPr>
      <w:r>
        <w:rPr>
          <w:rFonts w:ascii="Aptos" w:hAnsi="Aptos"/>
          <w:b/>
          <w:color w:val="0A2B55"/>
        </w:rPr>
        <w:t xml:space="preserve">☐ </w:t>
      </w:r>
      <w:r>
        <w:rPr>
          <w:rFonts w:ascii="Aptos" w:hAnsi="Aptos"/>
          <w:sz w:val="20"/>
        </w:rPr>
        <w:t>Person B har fått egen fråga och tydligt samtyckt.</w:t>
      </w:r>
    </w:p>
    <w:p>
      <w:pPr>
        <w:pStyle w:val="Checklist"/>
      </w:pPr>
      <w:r>
        <w:rPr>
          <w:rFonts w:ascii="Aptos" w:hAnsi="Aptos"/>
          <w:b/>
          <w:color w:val="0A2B55"/>
        </w:rPr>
        <w:t xml:space="preserve">☐ </w:t>
      </w:r>
      <w:r>
        <w:rPr>
          <w:rFonts w:ascii="Aptos" w:hAnsi="Aptos"/>
          <w:sz w:val="20"/>
        </w:rPr>
        <w:t>Jag har därefter uttryckligen förklarat dem vara makar.</w:t>
      </w:r>
    </w:p>
    <w:p>
      <w:pPr>
        <w:pStyle w:val="Heading2"/>
      </w:pPr>
      <w:r>
        <w:t>A4. Efter ceremonin</w:t>
      </w:r>
    </w:p>
    <w:p>
      <w:pPr>
        <w:pStyle w:val="Checklist"/>
      </w:pPr>
      <w:r>
        <w:rPr>
          <w:rFonts w:ascii="Aptos" w:hAnsi="Aptos"/>
          <w:b/>
          <w:color w:val="0A2B55"/>
        </w:rPr>
        <w:t xml:space="preserve">☐ </w:t>
      </w:r>
      <w:r>
        <w:rPr>
          <w:rFonts w:ascii="Aptos" w:hAnsi="Aptos"/>
          <w:sz w:val="20"/>
        </w:rPr>
        <w:t>Vigselbevis har genast lämnats till makarna.</w:t>
      </w:r>
    </w:p>
    <w:p>
      <w:pPr>
        <w:pStyle w:val="Checklist"/>
      </w:pPr>
      <w:r>
        <w:rPr>
          <w:rFonts w:ascii="Aptos" w:hAnsi="Aptos"/>
          <w:b/>
          <w:color w:val="0A2B55"/>
        </w:rPr>
        <w:t xml:space="preserve">☐ </w:t>
      </w:r>
      <w:r>
        <w:rPr>
          <w:rFonts w:ascii="Aptos" w:hAnsi="Aptos"/>
          <w:sz w:val="20"/>
        </w:rPr>
        <w:t>Vigseln har registrerats i ULC Sveriges system.</w:t>
      </w:r>
    </w:p>
    <w:p>
      <w:pPr>
        <w:pStyle w:val="Checklist"/>
      </w:pPr>
      <w:r>
        <w:rPr>
          <w:rFonts w:ascii="Aptos" w:hAnsi="Aptos"/>
          <w:b/>
          <w:color w:val="0A2B55"/>
        </w:rPr>
        <w:t xml:space="preserve">☐ </w:t>
      </w:r>
      <w:r>
        <w:rPr>
          <w:rFonts w:ascii="Aptos" w:hAnsi="Aptos"/>
          <w:sz w:val="20"/>
        </w:rPr>
        <w:t>Samtliga handlingar har laddats upp vid registreringen.</w:t>
      </w:r>
    </w:p>
    <w:p>
      <w:pPr>
        <w:pStyle w:val="Checklist"/>
      </w:pPr>
      <w:r>
        <w:rPr>
          <w:rFonts w:ascii="Aptos" w:hAnsi="Aptos"/>
          <w:b/>
          <w:color w:val="0A2B55"/>
        </w:rPr>
        <w:t xml:space="preserve">☐ </w:t>
      </w:r>
      <w:r>
        <w:rPr>
          <w:rFonts w:ascii="Aptos" w:hAnsi="Aptos"/>
          <w:sz w:val="20"/>
        </w:rPr>
        <w:t>Registreringen har slutförts och den automatiska underrättelsen till Skatteverket har gått iväg utan fel.</w:t>
      </w:r>
    </w:p>
    <w:p>
      <w:pPr>
        <w:pStyle w:val="Checklist"/>
      </w:pPr>
      <w:r>
        <w:rPr>
          <w:rFonts w:ascii="Aptos" w:hAnsi="Aptos"/>
          <w:b/>
          <w:color w:val="0A2B55"/>
        </w:rPr>
        <w:t xml:space="preserve">☐ </w:t>
      </w:r>
      <w:r>
        <w:rPr>
          <w:rFonts w:ascii="Aptos" w:hAnsi="Aptos"/>
          <w:sz w:val="20"/>
        </w:rPr>
        <w:t>Eventuell avvikelse är dokumenterad och rapporterad.</w:t>
      </w:r>
    </w:p>
    <w:p>
      <w:pPr>
        <w:pStyle w:val="Heading1"/>
      </w:pPr>
      <w:r>
        <w:t>Bilaga B – Kort juridiskt reservmanus</w:t>
      </w:r>
    </w:p>
    <w:tbl>
      <w:tblPr>
        <w:tblW w:type="auto" w:w="0"/>
        <w:jc w:val="center"/>
        <w:tblLook w:firstColumn="1" w:firstRow="1" w:lastColumn="0" w:lastRow="0" w:noHBand="0" w:noVBand="1" w:val="04A0"/>
      </w:tblPr>
      <w:tblGrid>
        <w:gridCol w:w="9972"/>
      </w:tblGrid>
      <w:t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1"/>
              </w:rPr>
              <w:t>Bär detta i pappersform eller offline</w:t>
            </w:r>
          </w:p>
          <w:p>
            <w:pPr>
              <w:spacing w:after="60"/>
            </w:pPr>
            <w:r>
              <w:rPr>
                <w:rFonts w:ascii="Aptos" w:hAnsi="Aptos"/>
                <w:sz w:val="19"/>
              </w:rPr>
              <w:t>1. [Namn], samtycker du till att ingå äktenskap med [Namn]?  –  Ja.</w:t>
            </w:r>
          </w:p>
          <w:p>
            <w:pPr>
              <w:spacing w:after="60"/>
            </w:pPr>
            <w:r>
              <w:rPr>
                <w:rFonts w:ascii="Aptos" w:hAnsi="Aptos"/>
                <w:sz w:val="19"/>
              </w:rPr>
              <w:t>2. [Namn], samtycker du till att ingå äktenskap med [Namn]?  –  Ja.</w:t>
            </w:r>
          </w:p>
          <w:p>
            <w:pPr>
              <w:spacing w:after="60"/>
            </w:pPr>
            <w:r>
              <w:rPr>
                <w:rFonts w:ascii="Aptos" w:hAnsi="Aptos"/>
                <w:sz w:val="19"/>
              </w:rPr>
              <w:t>3. Ni har var för sig samtyckt till att ingå äktenskap med varandra. Med stöd av mitt förordnande som vigselförrättare inom Universal Life Church Sverige förklarar jag er härmed vara makar.</w:t>
            </w:r>
          </w:p>
        </w:tc>
      </w:tr>
    </w:tbl>
    <w:p>
      <w:pPr>
        <w:spacing w:after="0"/>
      </w:pPr>
    </w:p>
    <w:p>
      <w:pPr>
        <w:pStyle w:val="Heading1"/>
      </w:pPr>
      <w:r>
        <w:t>Bilaga C – Förslag till vigselbevis</w:t>
      </w:r>
    </w:p>
    <w:p>
      <w:r>
        <w:rPr>
          <w:rFonts w:ascii="Aptos" w:hAnsi="Aptos"/>
          <w:b w:val="0"/>
          <w:i w:val="0"/>
          <w:sz w:val="20"/>
        </w:rPr>
        <w:t>ULC Sveriges vigselbevis bör innehålla:</w:t>
      </w:r>
    </w:p>
    <w:p>
      <w:pPr>
        <w:pStyle w:val="ListBullet"/>
        <w:spacing w:after="50"/>
      </w:pPr>
      <w:r>
        <w:rPr>
          <w:rFonts w:ascii="Aptos" w:hAnsi="Aptos"/>
          <w:sz w:val="20"/>
        </w:rPr>
        <w:t>Universal Life Church Sveriges namn och logotyp.</w:t>
      </w:r>
    </w:p>
    <w:p>
      <w:pPr>
        <w:pStyle w:val="ListBullet"/>
        <w:spacing w:after="50"/>
      </w:pPr>
      <w:r>
        <w:rPr>
          <w:rFonts w:ascii="Aptos" w:hAnsi="Aptos"/>
          <w:sz w:val="20"/>
        </w:rPr>
        <w:t>Rubriken 'Vigselbevis'.</w:t>
      </w:r>
    </w:p>
    <w:p>
      <w:pPr>
        <w:pStyle w:val="ListBullet"/>
        <w:spacing w:after="50"/>
      </w:pPr>
      <w:r>
        <w:rPr>
          <w:rFonts w:ascii="Aptos" w:hAnsi="Aptos"/>
          <w:sz w:val="20"/>
        </w:rPr>
        <w:t>Makarnas fullständiga namn.</w:t>
      </w:r>
    </w:p>
    <w:p>
      <w:pPr>
        <w:pStyle w:val="ListBullet"/>
        <w:spacing w:after="50"/>
      </w:pPr>
      <w:r>
        <w:rPr>
          <w:rFonts w:ascii="Aptos" w:hAnsi="Aptos"/>
          <w:sz w:val="20"/>
        </w:rPr>
        <w:t>Vigseldatum och vigselplats.</w:t>
      </w:r>
    </w:p>
    <w:p>
      <w:pPr>
        <w:pStyle w:val="ListBullet"/>
        <w:spacing w:after="50"/>
      </w:pPr>
      <w:r>
        <w:rPr>
          <w:rFonts w:ascii="Aptos" w:hAnsi="Aptos"/>
          <w:sz w:val="20"/>
        </w:rPr>
        <w:t>Text som intygar att personerna denna dag har ingått äktenskap genom vigsel förrättad av behörig vigselförrättare inom ULC Sverige.</w:t>
      </w:r>
    </w:p>
    <w:p>
      <w:pPr>
        <w:pStyle w:val="ListBullet"/>
        <w:spacing w:after="50"/>
      </w:pPr>
      <w:r>
        <w:rPr>
          <w:rFonts w:ascii="Aptos" w:hAnsi="Aptos"/>
          <w:sz w:val="20"/>
        </w:rPr>
        <w:t>Vigselförrättarens namn, titel/funktion och underskrift eller godkänd digital signering.</w:t>
      </w:r>
    </w:p>
    <w:p>
      <w:pPr>
        <w:pStyle w:val="ListBullet"/>
        <w:spacing w:after="50"/>
      </w:pPr>
      <w:r>
        <w:rPr>
          <w:rFonts w:ascii="Aptos" w:hAnsi="Aptos"/>
          <w:sz w:val="20"/>
        </w:rPr>
        <w:t>Eventuellt ULC Sveriges interna vigselnummer.</w:t>
      </w:r>
    </w:p>
    <w:p>
      <w:pPr>
        <w:pStyle w:val="ListBullet"/>
        <w:spacing w:after="50"/>
      </w:pPr>
      <w:r>
        <w:rPr>
          <w:rFonts w:ascii="Aptos" w:hAnsi="Aptos"/>
          <w:sz w:val="20"/>
        </w:rPr>
        <w:t>Vittnenas namn kan anges som ceremoniell uppgift om ULC Sveriges blankett föreskriver detta.</w:t>
      </w:r>
    </w:p>
    <w:p>
      <w:pPr>
        <w:pStyle w:val="Heading1"/>
      </w:pPr>
      <w:r>
        <w:t>Bilaga D – Kunskaps- och reflektionsfrågor</w:t>
      </w:r>
    </w:p>
    <w:p>
      <w:pPr>
        <w:spacing w:after="160"/>
      </w:pPr>
      <w:r>
        <w:rPr>
          <w:rFonts w:ascii="Aptos" w:hAnsi="Aptos"/>
          <w:b/>
          <w:sz w:val="19"/>
        </w:rPr>
        <w:t>1. Vilka tre moment i själva ceremonin är juridiskt avgörande enligt äktenskapsbalken?</w:t>
      </w:r>
    </w:p>
    <w:p>
      <w:pPr>
        <w:spacing w:after="160"/>
      </w:pPr>
      <w:r>
        <w:rPr>
          <w:rFonts w:ascii="Aptos" w:hAnsi="Aptos"/>
          <w:b/>
          <w:sz w:val="19"/>
        </w:rPr>
        <w:t>2. Hur länge får det ha gått sedan hindersprövningen gjordes?</w:t>
      </w:r>
    </w:p>
    <w:p>
      <w:pPr>
        <w:spacing w:after="160"/>
      </w:pPr>
      <w:r>
        <w:rPr>
          <w:rFonts w:ascii="Aptos" w:hAnsi="Aptos"/>
          <w:b/>
          <w:sz w:val="19"/>
        </w:rPr>
        <w:t>3. Vad är skillnaden mellan ULC-ordination/kyrklig titel och svenskt förordnande som vigselförrättare?</w:t>
      </w:r>
    </w:p>
    <w:p>
      <w:pPr>
        <w:spacing w:after="160"/>
      </w:pPr>
      <w:r>
        <w:rPr>
          <w:rFonts w:ascii="Aptos" w:hAnsi="Aptos"/>
          <w:b/>
          <w:sz w:val="19"/>
        </w:rPr>
        <w:t>4. Vad gör du om ena personen svarar 'kanske' på samtyckesfrågan?</w:t>
      </w:r>
    </w:p>
    <w:p>
      <w:pPr>
        <w:spacing w:after="160"/>
      </w:pPr>
      <w:r>
        <w:rPr>
          <w:rFonts w:ascii="Aptos" w:hAnsi="Aptos"/>
          <w:b/>
          <w:sz w:val="19"/>
        </w:rPr>
        <w:t>5. Kan personliga löften eller ringar ersätta det individuella samtycket?</w:t>
      </w:r>
    </w:p>
    <w:p>
      <w:pPr>
        <w:spacing w:after="160"/>
      </w:pPr>
      <w:r>
        <w:rPr>
          <w:rFonts w:ascii="Aptos" w:hAnsi="Aptos"/>
          <w:b/>
          <w:sz w:val="19"/>
        </w:rPr>
        <w:t>6. Vad gör du om en person verkar för berusad för att förstå vad som sker?</w:t>
      </w:r>
    </w:p>
    <w:p>
      <w:pPr>
        <w:spacing w:after="160"/>
      </w:pPr>
      <w:r>
        <w:rPr>
          <w:rFonts w:ascii="Aptos" w:hAnsi="Aptos"/>
          <w:b/>
          <w:sz w:val="19"/>
        </w:rPr>
        <w:t>7. När ska vigselbevis lämnas?</w:t>
      </w:r>
    </w:p>
    <w:p>
      <w:pPr>
        <w:spacing w:after="160"/>
      </w:pPr>
      <w:r>
        <w:rPr>
          <w:rFonts w:ascii="Aptos" w:hAnsi="Aptos"/>
          <w:b/>
          <w:sz w:val="19"/>
        </w:rPr>
        <w:t>8. När behöver en vigsel registreras i ULC Sveriges system?</w:t>
      </w:r>
    </w:p>
    <w:p>
      <w:pPr>
        <w:spacing w:after="160"/>
      </w:pPr>
      <w:r>
        <w:rPr>
          <w:rFonts w:ascii="Aptos" w:hAnsi="Aptos"/>
          <w:b/>
          <w:sz w:val="19"/>
        </w:rPr>
        <w:t>9. Vad händer när registreringen av vigseln slutförs i ULC Sveriges system?</w:t>
      </w:r>
    </w:p>
    <w:p>
      <w:pPr>
        <w:spacing w:after="160"/>
      </w:pPr>
      <w:r>
        <w:rPr>
          <w:rFonts w:ascii="Aptos" w:hAnsi="Aptos"/>
          <w:b/>
          <w:sz w:val="19"/>
        </w:rPr>
        <w:t>10. Vad gör du om den automatiska underrättelsen till Skatteverket visar fel?</w:t>
      </w:r>
    </w:p>
    <w:p>
      <w:pPr>
        <w:spacing w:after="160"/>
      </w:pPr>
      <w:r>
        <w:rPr>
          <w:rFonts w:ascii="Aptos" w:hAnsi="Aptos"/>
          <w:b/>
          <w:sz w:val="19"/>
        </w:rPr>
        <w:t>11. Hur skiljer ULC Sverige en symbolisk ceremoni från en juridisk vigsel?</w:t>
      </w:r>
    </w:p>
    <w:p>
      <w:pPr>
        <w:spacing w:after="160"/>
      </w:pPr>
      <w:r>
        <w:rPr>
          <w:rFonts w:ascii="Aptos" w:hAnsi="Aptos"/>
          <w:b/>
          <w:sz w:val="19"/>
        </w:rPr>
        <w:t>12. Vad gör du om du får en förfrågan om att förrätta vigsel i ett annat land?</w:t>
      </w:r>
    </w:p>
    <w:p>
      <w:pPr>
        <w:pStyle w:val="Heading2"/>
      </w:pPr>
      <w:r>
        <w:t>Vägledande svar</w:t>
      </w:r>
    </w:p>
    <w:p>
      <w:r>
        <w:rPr>
          <w:rFonts w:ascii="Aptos" w:hAnsi="Aptos"/>
          <w:b w:val="0"/>
          <w:i w:val="0"/>
          <w:sz w:val="20"/>
        </w:rPr>
        <w:t>1. Samtidig närvaro, individuellt samtycke på vigselförrättarens fråga och därefter en uttrycklig förklaring att de är makar.</w:t>
      </w:r>
    </w:p>
    <w:p>
      <w:r>
        <w:rPr>
          <w:rFonts w:ascii="Aptos" w:hAnsi="Aptos"/>
          <w:b w:val="0"/>
          <w:i w:val="0"/>
          <w:sz w:val="20"/>
        </w:rPr>
        <w:t>2. Hindersprövningen ska ha skett inom fyra månader före den planerade vigseln.</w:t>
      </w:r>
    </w:p>
    <w:p>
      <w:r>
        <w:rPr>
          <w:rFonts w:ascii="Aptos" w:hAnsi="Aptos"/>
          <w:b w:val="0"/>
          <w:i w:val="0"/>
          <w:sz w:val="20"/>
        </w:rPr>
        <w:t>3. Ordination och titel är kyrklig status; juridisk vigsel i Sverige kräver individuellt förordnande.</w:t>
      </w:r>
    </w:p>
    <w:p>
      <w:r>
        <w:rPr>
          <w:rFonts w:ascii="Aptos" w:hAnsi="Aptos"/>
          <w:b w:val="0"/>
          <w:i w:val="0"/>
          <w:sz w:val="20"/>
        </w:rPr>
        <w:t>4. Stanna och säkerställ ett otvetydigt, frivilligt svar. Vid verklig tvekan avbryts vigseln.</w:t>
      </w:r>
    </w:p>
    <w:p>
      <w:r>
        <w:rPr>
          <w:rFonts w:ascii="Aptos" w:hAnsi="Aptos"/>
          <w:b w:val="0"/>
          <w:i w:val="0"/>
          <w:sz w:val="20"/>
        </w:rPr>
        <w:t>5. Nej.</w:t>
      </w:r>
    </w:p>
    <w:p>
      <w:r>
        <w:rPr>
          <w:rFonts w:ascii="Aptos" w:hAnsi="Aptos"/>
          <w:b w:val="0"/>
          <w:i w:val="0"/>
          <w:sz w:val="20"/>
        </w:rPr>
        <w:t>6. Vig inte förrän frivilligt och förstått samtycke säkert kan bedömas.</w:t>
      </w:r>
    </w:p>
    <w:p>
      <w:r>
        <w:rPr>
          <w:rFonts w:ascii="Aptos" w:hAnsi="Aptos"/>
          <w:b w:val="0"/>
          <w:i w:val="0"/>
          <w:sz w:val="20"/>
        </w:rPr>
        <w:t>7. Genast efter vigseln.</w:t>
      </w:r>
    </w:p>
    <w:p>
      <w:r>
        <w:rPr>
          <w:rFonts w:ascii="Aptos" w:hAnsi="Aptos"/>
          <w:b w:val="0"/>
          <w:i w:val="0"/>
          <w:sz w:val="20"/>
        </w:rPr>
        <w:t>8. Den kan registreras i förväg, men måste inte vara det. Den genomförda vigseln registreras direkt efteråt och handlingarna laddas upp då.</w:t>
      </w:r>
    </w:p>
    <w:p>
      <w:r>
        <w:rPr>
          <w:rFonts w:ascii="Aptos" w:hAnsi="Aptos"/>
          <w:b w:val="0"/>
          <w:i w:val="0"/>
          <w:sz w:val="20"/>
        </w:rPr>
        <w:t>9. Systemet skickar automatiskt underrättelsen om vigseln till Skatteverket.</w:t>
      </w:r>
    </w:p>
    <w:p>
      <w:r>
        <w:rPr>
          <w:rFonts w:ascii="Aptos" w:hAnsi="Aptos"/>
          <w:b w:val="0"/>
          <w:i w:val="0"/>
          <w:sz w:val="20"/>
        </w:rPr>
        <w:t>10. Följ reservrutinen omedelbart så att underrättelsen inte fördröjs.</w:t>
      </w:r>
    </w:p>
    <w:p>
      <w:r>
        <w:rPr>
          <w:rFonts w:ascii="Aptos" w:hAnsi="Aptos"/>
          <w:b w:val="0"/>
          <w:i w:val="0"/>
          <w:sz w:val="20"/>
        </w:rPr>
        <w:t>11. Den symboliska ceremonin markeras och hanteras som icke-juridisk och registreras inte som vigsel.</w:t>
      </w:r>
    </w:p>
    <w:p>
      <w:r>
        <w:rPr>
          <w:rFonts w:ascii="Aptos" w:hAnsi="Aptos"/>
          <w:b w:val="0"/>
          <w:i w:val="0"/>
          <w:sz w:val="20"/>
        </w:rPr>
        <w:t>12. Kontrollera lokal lag och för dialog med ULC internationellt om behörighet, bemyndiganden och dokument.</w:t>
      </w:r>
    </w:p>
    <w:p>
      <w:pPr>
        <w:pStyle w:val="Heading1"/>
      </w:pPr>
      <w:r>
        <w:t>Bilaga E – Rättskällor och referenser</w:t>
      </w:r>
    </w:p>
    <w:p>
      <w:r>
        <w:rPr>
          <w:rFonts w:ascii="Aptos" w:hAnsi="Aptos"/>
          <w:b w:val="0"/>
          <w:i w:val="0"/>
          <w:sz w:val="20"/>
        </w:rPr>
        <w:t>Vigselordningen bygger på följande centrala rättskällor och officiella vägledningar:</w:t>
      </w:r>
    </w:p>
    <w:tbl>
      <w:tblPr>
        <w:tblStyle w:val="TableGrid"/>
        <w:tblW w:type="auto" w:w="0"/>
        <w:jc w:val="center"/>
        <w:tblLook w:firstColumn="1" w:firstRow="1" w:lastColumn="0" w:lastRow="0" w:noHBand="0" w:noVBand="1" w:val="04A0"/>
      </w:tblPr>
      <w:tblGrid>
        <w:gridCol w:w="3324"/>
        <w:gridCol w:w="3324"/>
        <w:gridCol w:w="3324"/>
      </w:tblGrid>
      <w:tr>
        <w:trPr>
          <w:tblHeader w:val="true"/>
        </w:trPr>
        <w:tc>
          <w:tcPr>
            <w:tcW w:type="dxa" w:w="3402"/>
            <w:shd w:fill="0A2B55"/>
            <w:vAlign w:val="center"/>
          </w:tcPr>
          <w:p>
            <w:r>
              <w:rPr>
                <w:rFonts w:ascii="Aptos" w:hAnsi="Aptos"/>
                <w:b/>
                <w:color w:val="FFFFFF"/>
                <w:sz w:val="14"/>
              </w:rPr>
              <w:t>Källa</w:t>
            </w:r>
          </w:p>
        </w:tc>
        <w:tc>
          <w:tcPr>
            <w:tcW w:type="dxa" w:w="2098"/>
            <w:shd w:fill="0A2B55"/>
            <w:vAlign w:val="center"/>
          </w:tcPr>
          <w:p>
            <w:r>
              <w:rPr>
                <w:rFonts w:ascii="Aptos" w:hAnsi="Aptos"/>
                <w:b/>
                <w:color w:val="FFFFFF"/>
                <w:sz w:val="14"/>
              </w:rPr>
              <w:t>Utgivare</w:t>
            </w:r>
          </w:p>
        </w:tc>
        <w:tc>
          <w:tcPr>
            <w:tcW w:type="dxa" w:w="3969"/>
            <w:shd w:fill="0A2B55"/>
            <w:vAlign w:val="center"/>
          </w:tcPr>
          <w:p>
            <w:r>
              <w:rPr>
                <w:rFonts w:ascii="Aptos" w:hAnsi="Aptos"/>
                <w:b/>
                <w:color w:val="FFFFFF"/>
                <w:sz w:val="14"/>
              </w:rPr>
              <w:t>Webbadress</w:t>
            </w:r>
          </w:p>
        </w:tc>
      </w:tr>
      <w:tr>
        <w:tc>
          <w:tcPr>
            <w:tcW w:type="dxa" w:w="3402"/>
            <w:vAlign w:val="top"/>
          </w:tcPr>
          <w:p>
            <w:r>
              <w:rPr>
                <w:rFonts w:ascii="Aptos" w:hAnsi="Aptos"/>
                <w:sz w:val="14"/>
              </w:rPr>
              <w:t>Äktenskapsbalk (1987:230), särskilt 2–4 kap.</w:t>
            </w:r>
          </w:p>
        </w:tc>
        <w:tc>
          <w:tcPr>
            <w:tcW w:type="dxa" w:w="2098"/>
            <w:vAlign w:val="top"/>
          </w:tcPr>
          <w:p>
            <w:r>
              <w:rPr>
                <w:rFonts w:ascii="Aptos" w:hAnsi="Aptos"/>
                <w:sz w:val="14"/>
              </w:rPr>
              <w:t>Sveriges riksdag</w:t>
            </w:r>
          </w:p>
        </w:tc>
        <w:tc>
          <w:tcPr>
            <w:tcW w:type="dxa" w:w="3969"/>
            <w:vAlign w:val="top"/>
          </w:tcPr>
          <w:p>
            <w:r>
              <w:rPr>
                <w:rFonts w:ascii="Aptos" w:hAnsi="Aptos"/>
                <w:sz w:val="14"/>
              </w:rPr>
              <w:t>https://www.riksdagen.se/sv/dokument-och-lagar/dokument/svensk-forfattningssamling/aktenskapsbalk-1987230_sfs-1987-230/</w:t>
            </w:r>
          </w:p>
        </w:tc>
      </w:tr>
      <w:tr>
        <w:tc>
          <w:tcPr>
            <w:tcW w:type="dxa" w:w="3402"/>
            <w:vAlign w:val="top"/>
          </w:tcPr>
          <w:p>
            <w:r>
              <w:rPr>
                <w:rFonts w:ascii="Aptos" w:hAnsi="Aptos"/>
                <w:sz w:val="14"/>
              </w:rPr>
              <w:t>Lag (1993:305) om rätt att förrätta vigsel inom trossamfund</w:t>
            </w:r>
          </w:p>
        </w:tc>
        <w:tc>
          <w:tcPr>
            <w:tcW w:type="dxa" w:w="2098"/>
            <w:vAlign w:val="top"/>
          </w:tcPr>
          <w:p>
            <w:r>
              <w:rPr>
                <w:rFonts w:ascii="Aptos" w:hAnsi="Aptos"/>
                <w:sz w:val="14"/>
              </w:rPr>
              <w:t>Sveriges riksdag</w:t>
            </w:r>
          </w:p>
        </w:tc>
        <w:tc>
          <w:tcPr>
            <w:tcW w:type="dxa" w:w="3969"/>
            <w:vAlign w:val="top"/>
          </w:tcPr>
          <w:p>
            <w:r>
              <w:rPr>
                <w:rFonts w:ascii="Aptos" w:hAnsi="Aptos"/>
                <w:sz w:val="14"/>
              </w:rPr>
              <w:t>https://www.riksdagen.se/sv/dokument-och-lagar/dokument/svensk-forfattningssamling/lag-1993305-om-ratt-att-forratta-vigsel-inom_sfs-1993-305/</w:t>
            </w:r>
          </w:p>
        </w:tc>
      </w:tr>
      <w:tr>
        <w:tc>
          <w:tcPr>
            <w:tcW w:type="dxa" w:w="3402"/>
            <w:vAlign w:val="top"/>
          </w:tcPr>
          <w:p>
            <w:r>
              <w:rPr>
                <w:rFonts w:ascii="Aptos" w:hAnsi="Aptos"/>
                <w:sz w:val="14"/>
              </w:rPr>
              <w:t>Vigselrätt – förordnande av vigselförrättare</w:t>
            </w:r>
          </w:p>
        </w:tc>
        <w:tc>
          <w:tcPr>
            <w:tcW w:type="dxa" w:w="2098"/>
            <w:vAlign w:val="top"/>
          </w:tcPr>
          <w:p>
            <w:r>
              <w:rPr>
                <w:rFonts w:ascii="Aptos" w:hAnsi="Aptos"/>
                <w:sz w:val="14"/>
              </w:rPr>
              <w:t>Kammarkollegiet</w:t>
            </w:r>
          </w:p>
        </w:tc>
        <w:tc>
          <w:tcPr>
            <w:tcW w:type="dxa" w:w="3969"/>
            <w:vAlign w:val="top"/>
          </w:tcPr>
          <w:p>
            <w:r>
              <w:rPr>
                <w:rFonts w:ascii="Aptos" w:hAnsi="Aptos"/>
                <w:sz w:val="14"/>
              </w:rPr>
              <w:t>https://www.kammarkollegiet.se/vara-tjanster/vigselratt/ansok-om-forordnande-av-vigselforrattare</w:t>
            </w:r>
          </w:p>
        </w:tc>
      </w:tr>
      <w:tr>
        <w:tc>
          <w:tcPr>
            <w:tcW w:type="dxa" w:w="3402"/>
            <w:vAlign w:val="top"/>
          </w:tcPr>
          <w:p>
            <w:r>
              <w:rPr>
                <w:rFonts w:ascii="Aptos" w:hAnsi="Aptos"/>
                <w:sz w:val="14"/>
              </w:rPr>
              <w:t>Att gifta sig i Sverige eller i utlandet</w:t>
            </w:r>
          </w:p>
        </w:tc>
        <w:tc>
          <w:tcPr>
            <w:tcW w:type="dxa" w:w="2098"/>
            <w:vAlign w:val="top"/>
          </w:tcPr>
          <w:p>
            <w:r>
              <w:rPr>
                <w:rFonts w:ascii="Aptos" w:hAnsi="Aptos"/>
                <w:sz w:val="14"/>
              </w:rPr>
              <w:t>Skatteverket</w:t>
            </w:r>
          </w:p>
        </w:tc>
        <w:tc>
          <w:tcPr>
            <w:tcW w:type="dxa" w:w="3969"/>
            <w:vAlign w:val="top"/>
          </w:tcPr>
          <w:p>
            <w:r>
              <w:rPr>
                <w:rFonts w:ascii="Aptos" w:hAnsi="Aptos"/>
                <w:sz w:val="14"/>
              </w:rPr>
              <w:t>https://www.skatteverket.se/privat/folkbokforing/aktenskapochpartnerskap/attgiftasigisverigeelleriutlandet.4.76a43be412206334b89800020579.html</w:t>
            </w:r>
          </w:p>
        </w:tc>
      </w:tr>
      <w:tr>
        <w:tc>
          <w:tcPr>
            <w:tcW w:type="dxa" w:w="3402"/>
            <w:vAlign w:val="top"/>
          </w:tcPr>
          <w:p>
            <w:r>
              <w:rPr>
                <w:rFonts w:ascii="Aptos" w:hAnsi="Aptos"/>
                <w:sz w:val="14"/>
              </w:rPr>
              <w:t>Wedding Ceremony Officiant Scripts – Legal Considerations</w:t>
            </w:r>
          </w:p>
        </w:tc>
        <w:tc>
          <w:tcPr>
            <w:tcW w:type="dxa" w:w="2098"/>
            <w:vAlign w:val="top"/>
          </w:tcPr>
          <w:p>
            <w:r>
              <w:rPr>
                <w:rFonts w:ascii="Aptos" w:hAnsi="Aptos"/>
                <w:sz w:val="14"/>
              </w:rPr>
              <w:t>Universal Life Church</w:t>
            </w:r>
          </w:p>
        </w:tc>
        <w:tc>
          <w:tcPr>
            <w:tcW w:type="dxa" w:w="3969"/>
            <w:vAlign w:val="top"/>
          </w:tcPr>
          <w:p>
            <w:r>
              <w:rPr>
                <w:rFonts w:ascii="Aptos" w:hAnsi="Aptos"/>
                <w:sz w:val="14"/>
              </w:rPr>
              <w:t>https://www.ulc.org/wedding-ceremony-scripts</w:t>
            </w:r>
          </w:p>
        </w:tc>
      </w:tr>
      <w:tr>
        <w:tc>
          <w:tcPr>
            <w:tcW w:type="dxa" w:w="3402"/>
            <w:vAlign w:val="top"/>
          </w:tcPr>
          <w:p>
            <w:r>
              <w:rPr>
                <w:rFonts w:ascii="Aptos" w:hAnsi="Aptos"/>
                <w:sz w:val="14"/>
              </w:rPr>
              <w:t>Declaration of Intent Wedding Script</w:t>
            </w:r>
          </w:p>
        </w:tc>
        <w:tc>
          <w:tcPr>
            <w:tcW w:type="dxa" w:w="2098"/>
            <w:vAlign w:val="top"/>
          </w:tcPr>
          <w:p>
            <w:r>
              <w:rPr>
                <w:rFonts w:ascii="Aptos" w:hAnsi="Aptos"/>
                <w:sz w:val="14"/>
              </w:rPr>
              <w:t>Universal Life Church</w:t>
            </w:r>
          </w:p>
        </w:tc>
        <w:tc>
          <w:tcPr>
            <w:tcW w:type="dxa" w:w="3969"/>
            <w:vAlign w:val="top"/>
          </w:tcPr>
          <w:p>
            <w:r>
              <w:rPr>
                <w:rFonts w:ascii="Aptos" w:hAnsi="Aptos"/>
                <w:sz w:val="14"/>
              </w:rPr>
              <w:t>https://www.ulc.org/wedding-ceremony-scripts/declaration-of-intent-wedding-ceremony-script</w:t>
            </w:r>
          </w:p>
        </w:tc>
      </w:tr>
      <w:tr>
        <w:tc>
          <w:tcPr>
            <w:tcW w:type="dxa" w:w="3402"/>
            <w:vAlign w:val="top"/>
          </w:tcPr>
          <w:p>
            <w:r>
              <w:rPr>
                <w:rFonts w:ascii="Aptos" w:hAnsi="Aptos"/>
                <w:sz w:val="14"/>
              </w:rPr>
              <w:t>Official Letter of Good Standing</w:t>
            </w:r>
          </w:p>
        </w:tc>
        <w:tc>
          <w:tcPr>
            <w:tcW w:type="dxa" w:w="2098"/>
            <w:vAlign w:val="top"/>
          </w:tcPr>
          <w:p>
            <w:r>
              <w:rPr>
                <w:rFonts w:ascii="Aptos" w:hAnsi="Aptos"/>
                <w:sz w:val="14"/>
              </w:rPr>
              <w:t>Universal Life Church</w:t>
            </w:r>
          </w:p>
        </w:tc>
        <w:tc>
          <w:tcPr>
            <w:tcW w:type="dxa" w:w="3969"/>
            <w:vAlign w:val="top"/>
          </w:tcPr>
          <w:p>
            <w:r>
              <w:rPr>
                <w:rFonts w:ascii="Aptos" w:hAnsi="Aptos"/>
                <w:sz w:val="14"/>
              </w:rPr>
              <w:t>https://www.ulc.org/minister-store/official-letter-of-good-standing</w:t>
            </w:r>
          </w:p>
        </w:tc>
      </w:tr>
    </w:tbl>
    <w:p>
      <w:pPr>
        <w:spacing w:after="0"/>
      </w:pPr>
    </w:p>
    <w:p>
      <w:pPr>
        <w:pStyle w:val="Heading1"/>
      </w:pPr>
      <w:r>
        <w:t>Slutord</w:t>
      </w:r>
    </w:p>
    <w:tbl>
      <w:tblPr>
        <w:tblW w:type="auto" w:w="0"/>
        <w:jc w:val="center"/>
        <w:tblLook w:firstColumn="1" w:firstRow="1" w:lastColumn="0" w:lastRow="0" w:noHBand="0" w:noVBand="1" w:val="04A0"/>
      </w:tblPr>
      <w:tblGrid>
        <w:gridCol w:w="9972"/>
      </w:tblGrid>
      <w:t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1"/>
              </w:rPr>
              <w:t>ULC Sveriges vigsellöfte</w:t>
            </w:r>
          </w:p>
          <w:p>
            <w:pPr>
              <w:spacing w:after="60"/>
            </w:pPr>
            <w:r>
              <w:rPr>
                <w:rFonts w:ascii="Aptos" w:hAnsi="Aptos"/>
                <w:sz w:val="19"/>
              </w:rPr>
              <w:t>Varje vigsel ska bära parets egen röst. Varje ja ska vara fritt. Varje juridiskt moment ska vara tydligt. Vår uppgift är att skapa en ceremoni där människan står i centrum och där både kärleken och lagen behandlas med respekt.</w:t>
            </w:r>
          </w:p>
        </w:tc>
      </w:tr>
    </w:tbl>
    <w:p>
      <w:pPr>
        <w:spacing w:after="0"/>
      </w:pPr>
    </w:p>
    <w:sectPr w:rsidR="00FC693F" w:rsidRPr="0006063C" w:rsidSect="00034616">
      <w:headerReference w:type="default" r:id="rId9"/>
      <w:footerReference w:type="default" r:id="rId10"/>
      <w:pgSz w:w="12240" w:h="15840"/>
      <w:pgMar w:top="964"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C6874"/>
        <w:sz w:val="16"/>
      </w:rPr>
      <w:t xml:space="preserve">ULC Sverige  •  Vigselordning, utgåva 1.0  •  Sida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rPr>
        <w:rFonts w:ascii="Aptos" w:hAnsi="Aptos"/>
        <w:b/>
        <w:color w:val="0A2B55"/>
        <w:sz w:val="16"/>
      </w:rPr>
      <w:t>UNIVERSAL LIFE CHURCH SVERIGE  |  VIGSELORDNING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7" w:lineRule="auto"/>
    </w:pPr>
    <w:rPr>
      <w:rFonts w:ascii="Aptos" w:hAnsi="Aptos"/>
      <w:color w:val="20283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0A2B55"/>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183E67"/>
      <w:sz w:val="28"/>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183E6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ecklist">
    <w:name w:val="Checklist"/>
    <w:pPr>
      <w:spacing w:after="60"/>
      <w:ind w:left="198" w:hanging="198"/>
    </w:pPr>
    <w:rPr>
      <w:rFonts w:ascii="Aptos" w:hAnsi="Apto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ULC Sverige – Vigselordning</dc:title>
  <dc:subject>Ceremoni, process och föreskrifter för vigselförrättare</dc:subject>
  <dc:creator>Universal Life Church Sverige</dc:creator>
  <cp:keywords>ULC Sverige, Universal Life Church, vigsel, vigselförrättare, äktenskapsbalken</cp:keywords>
  <dc:description>generated by python-docx</dc:description>
  <cp:lastModifiedBy/>
  <cp:revision>1</cp:revision>
  <dcterms:created xsi:type="dcterms:W3CDTF">2013-12-23T23:15:00Z</dcterms:created>
  <dcterms:modified xsi:type="dcterms:W3CDTF">2013-12-23T23:15:00Z</dcterms:modified>
  <cp:category/>
</cp:coreProperties>
</file>